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FF34" w14:textId="50D55BB9" w:rsidR="0037175B" w:rsidRPr="0025739C" w:rsidRDefault="0037175B" w:rsidP="0037175B">
      <w:pPr>
        <w:pStyle w:val="Header"/>
        <w:tabs>
          <w:tab w:val="right" w:pos="9639"/>
        </w:tabs>
        <w:rPr>
          <w:bCs w:val="0"/>
          <w:noProof w:val="0"/>
          <w:sz w:val="24"/>
          <w:szCs w:val="24"/>
        </w:rPr>
      </w:pPr>
      <w:bookmarkStart w:id="0" w:name="_Hlk527628066"/>
      <w:bookmarkStart w:id="1" w:name="_GoBack"/>
      <w:bookmarkEnd w:id="1"/>
      <w:r w:rsidRPr="0025739C">
        <w:rPr>
          <w:noProof w:val="0"/>
          <w:sz w:val="24"/>
          <w:szCs w:val="24"/>
        </w:rPr>
        <w:t>3GPP TSG-RAN WG3 Meeting #1</w:t>
      </w:r>
      <w:r>
        <w:rPr>
          <w:noProof w:val="0"/>
          <w:sz w:val="24"/>
          <w:szCs w:val="24"/>
        </w:rPr>
        <w:t>1</w:t>
      </w:r>
      <w:r w:rsidRPr="0025739C">
        <w:rPr>
          <w:noProof w:val="0"/>
          <w:sz w:val="24"/>
          <w:szCs w:val="24"/>
        </w:rPr>
        <w:t xml:space="preserve">0-e </w:t>
      </w:r>
      <w:r w:rsidRPr="0025739C">
        <w:rPr>
          <w:noProof w:val="0"/>
          <w:sz w:val="24"/>
          <w:szCs w:val="24"/>
        </w:rPr>
        <w:tab/>
      </w:r>
      <w:r w:rsidRPr="00BB6334">
        <w:rPr>
          <w:noProof w:val="0"/>
          <w:sz w:val="24"/>
          <w:szCs w:val="24"/>
        </w:rPr>
        <w:t>R3-20</w:t>
      </w:r>
      <w:r w:rsidR="007C7929">
        <w:rPr>
          <w:noProof w:val="0"/>
          <w:sz w:val="24"/>
          <w:szCs w:val="24"/>
        </w:rPr>
        <w:t>6287</w:t>
      </w:r>
    </w:p>
    <w:p w14:paraId="6D2B5D02" w14:textId="77777777" w:rsidR="0037175B" w:rsidRPr="006C6B4A" w:rsidRDefault="0037175B" w:rsidP="0037175B">
      <w:pPr>
        <w:pStyle w:val="Header"/>
        <w:tabs>
          <w:tab w:val="right" w:pos="9639"/>
        </w:tabs>
        <w:rPr>
          <w:rFonts w:cs="Malgun Gothic"/>
          <w:b w:val="0"/>
          <w:sz w:val="24"/>
          <w:szCs w:val="24"/>
        </w:rPr>
      </w:pPr>
      <w:r>
        <w:rPr>
          <w:noProof w:val="0"/>
          <w:sz w:val="24"/>
          <w:szCs w:val="24"/>
        </w:rPr>
        <w:t>2 – 12 November</w:t>
      </w:r>
      <w:r w:rsidRPr="000E3DB8">
        <w:rPr>
          <w:noProof w:val="0"/>
          <w:sz w:val="24"/>
          <w:szCs w:val="24"/>
        </w:rPr>
        <w:t xml:space="preserve"> 2020</w:t>
      </w:r>
      <w:r>
        <w:rPr>
          <w:noProof w:val="0"/>
          <w:sz w:val="24"/>
          <w:szCs w:val="24"/>
        </w:rPr>
        <w:t xml:space="preserve">, </w:t>
      </w:r>
      <w:r w:rsidRPr="001831F6">
        <w:rPr>
          <w:noProof w:val="0"/>
          <w:sz w:val="24"/>
          <w:szCs w:val="24"/>
        </w:rPr>
        <w:t>Online</w:t>
      </w:r>
      <w:r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73E8F2B5"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3F2A7D87" w:rsidR="007A7B60" w:rsidRPr="00E36997" w:rsidRDefault="0037175B" w:rsidP="00952130">
      <w:pPr>
        <w:overflowPunct/>
        <w:autoSpaceDE/>
        <w:autoSpaceDN/>
        <w:adjustRightInd/>
        <w:spacing w:after="180"/>
        <w:jc w:val="left"/>
        <w:textAlignment w:val="auto"/>
      </w:pPr>
      <w:r w:rsidRPr="00E36997">
        <w:t xml:space="preserve">Last RAN3 meeting </w:t>
      </w:r>
      <w:r w:rsidR="006048D0" w:rsidRPr="00E36997">
        <w:t>discussed the inter-donor migration, and agreed following:</w:t>
      </w:r>
    </w:p>
    <w:p w14:paraId="47D16147" w14:textId="77777777" w:rsidR="002F62F5" w:rsidRDefault="002F62F5" w:rsidP="00E36997">
      <w:pPr>
        <w:overflowPunct/>
        <w:autoSpaceDE/>
        <w:autoSpaceDN/>
        <w:adjustRightInd/>
        <w:spacing w:after="60"/>
        <w:ind w:left="360"/>
        <w:jc w:val="left"/>
        <w:textAlignment w:val="auto"/>
      </w:pPr>
      <w:r>
        <w:t>The following cases for inter-donor migration are studied:</w:t>
      </w:r>
    </w:p>
    <w:p w14:paraId="468DC832" w14:textId="77777777" w:rsidR="002F62F5" w:rsidRDefault="002F62F5" w:rsidP="00E36997">
      <w:pPr>
        <w:numPr>
          <w:ilvl w:val="0"/>
          <w:numId w:val="26"/>
        </w:numPr>
        <w:overflowPunct/>
        <w:autoSpaceDE/>
        <w:autoSpaceDN/>
        <w:adjustRightInd/>
        <w:spacing w:after="60"/>
        <w:ind w:left="1080"/>
        <w:jc w:val="left"/>
        <w:textAlignment w:val="auto"/>
      </w:pPr>
      <w:r>
        <w:t>a) IAB-MT is migrated between IAB-donors.</w:t>
      </w:r>
    </w:p>
    <w:p w14:paraId="4845F31E" w14:textId="77777777" w:rsidR="002F62F5" w:rsidRDefault="002F62F5" w:rsidP="00E36997">
      <w:pPr>
        <w:numPr>
          <w:ilvl w:val="0"/>
          <w:numId w:val="26"/>
        </w:numPr>
        <w:overflowPunct/>
        <w:autoSpaceDE/>
        <w:autoSpaceDN/>
        <w:adjustRightInd/>
        <w:spacing w:after="60"/>
        <w:ind w:left="1080"/>
        <w:jc w:val="left"/>
        <w:textAlignment w:val="auto"/>
      </w:pPr>
      <w:r>
        <w:t>b) IAB-MT is simultaneously connected to two IAB-donors</w:t>
      </w:r>
    </w:p>
    <w:p w14:paraId="3E8C8E48" w14:textId="77777777" w:rsidR="002F62F5" w:rsidRDefault="002F62F5" w:rsidP="00E36997">
      <w:pPr>
        <w:numPr>
          <w:ilvl w:val="0"/>
          <w:numId w:val="26"/>
        </w:numPr>
        <w:overflowPunct/>
        <w:autoSpaceDE/>
        <w:autoSpaceDN/>
        <w:adjustRightInd/>
        <w:spacing w:after="60"/>
        <w:ind w:left="1080"/>
        <w:jc w:val="left"/>
        <w:textAlignment w:val="auto"/>
      </w:pPr>
      <w:r>
        <w:t>c) IAB-DU is simultaneously connected to 2 donor-CUs (common understanding is that we won’t break F1 interface principles)</w:t>
      </w:r>
    </w:p>
    <w:p w14:paraId="2E7B4139" w14:textId="700A030B" w:rsidR="007A7B60" w:rsidRDefault="002F62F5" w:rsidP="00E36997">
      <w:pPr>
        <w:numPr>
          <w:ilvl w:val="0"/>
          <w:numId w:val="26"/>
        </w:numPr>
        <w:overflowPunct/>
        <w:autoSpaceDE/>
        <w:autoSpaceDN/>
        <w:adjustRightInd/>
        <w:spacing w:after="60"/>
        <w:ind w:left="1080"/>
        <w:jc w:val="left"/>
        <w:textAlignment w:val="auto"/>
      </w:pPr>
      <w:r>
        <w:t>d) IAB-MT performs RLF recovery at new IAB-donor</w:t>
      </w:r>
      <w:r w:rsidR="007A7B60">
        <w:t xml:space="preserve">.   </w:t>
      </w:r>
    </w:p>
    <w:p w14:paraId="4397A4B2" w14:textId="1115C887" w:rsidR="00952130" w:rsidRPr="00E36997" w:rsidRDefault="00952130" w:rsidP="00952130">
      <w:pPr>
        <w:overflowPunct/>
        <w:autoSpaceDE/>
        <w:autoSpaceDN/>
        <w:adjustRightInd/>
        <w:spacing w:after="180"/>
        <w:jc w:val="left"/>
        <w:textAlignment w:val="auto"/>
      </w:pPr>
      <w:r w:rsidRPr="00E36997">
        <w:t xml:space="preserve">This </w:t>
      </w:r>
      <w:r w:rsidR="007A7B60" w:rsidRPr="00E36997">
        <w:t>contribution analyses the technical detail on inter-donor adaptation</w:t>
      </w:r>
      <w:r w:rsidR="00525782" w:rsidRPr="00E36997">
        <w:t xml:space="preserve"> with</w:t>
      </w:r>
      <w:r w:rsidR="00EF78A7">
        <w:t xml:space="preserve"> one DU in IAB node, or with </w:t>
      </w:r>
      <w:r w:rsidR="00525782" w:rsidRPr="00E36997">
        <w:t>dual DU in IAB node</w:t>
      </w:r>
      <w:r w:rsidR="007A7B60" w:rsidRPr="00E36997">
        <w:t xml:space="preserve">. </w:t>
      </w:r>
    </w:p>
    <w:p w14:paraId="169C0E12" w14:textId="1EF3D297" w:rsidR="00E91E88" w:rsidRDefault="00E91E88" w:rsidP="00952130">
      <w:pPr>
        <w:pStyle w:val="Heading1"/>
      </w:pPr>
      <w:r>
        <w:t>Discussion</w:t>
      </w:r>
      <w:r w:rsidR="00AC2348">
        <w:t xml:space="preserve"> on </w:t>
      </w:r>
      <w:r w:rsidR="005A2C4D">
        <w:t>“</w:t>
      </w:r>
      <w:r w:rsidR="00AC2348">
        <w:t>IAB-MT is migrated between IAB-Donors</w:t>
      </w:r>
      <w:r w:rsidR="005A2C4D">
        <w:t>”</w:t>
      </w:r>
    </w:p>
    <w:p w14:paraId="1CB524E4" w14:textId="10CB0D15" w:rsidR="00F51175" w:rsidRDefault="00F51175" w:rsidP="00F51175">
      <w:pPr>
        <w:overflowPunct/>
        <w:autoSpaceDE/>
        <w:autoSpaceDN/>
        <w:adjustRightInd/>
        <w:spacing w:after="60"/>
        <w:jc w:val="left"/>
        <w:textAlignment w:val="auto"/>
      </w:pPr>
      <w:r>
        <w:t xml:space="preserve">This section </w:t>
      </w:r>
      <w:r w:rsidR="008A2902">
        <w:t>analyses</w:t>
      </w:r>
      <w:r w:rsidR="00E54F66">
        <w:t xml:space="preserve"> </w:t>
      </w:r>
      <w:r>
        <w:t>the options for a) IAB-MT is migrated between IAB-donors.</w:t>
      </w:r>
    </w:p>
    <w:p w14:paraId="60E87A09" w14:textId="177B48E4" w:rsidR="00F51175" w:rsidRDefault="00F51175" w:rsidP="00CB1153"/>
    <w:p w14:paraId="0F9F37F4" w14:textId="75CD11DE" w:rsidR="00C05B5E" w:rsidRDefault="003A5E23" w:rsidP="00CB1153">
      <w:r>
        <w:t xml:space="preserve">For the IAB-MT part, current handover procedure can be reused. The main issue is the handling for the UEs connected to the migrating IAB node (and descendant IAB nodes). </w:t>
      </w:r>
      <w:r w:rsidR="008A5722">
        <w:t xml:space="preserve">Due to the change of the Donor, the handover procedure should be used for the UE. </w:t>
      </w:r>
      <w:r w:rsidR="00E36997">
        <w:t>In current F1 interface, o</w:t>
      </w:r>
      <w:r w:rsidR="00E36997" w:rsidRPr="00E36997">
        <w:t xml:space="preserve">ne </w:t>
      </w:r>
      <w:proofErr w:type="spellStart"/>
      <w:r w:rsidR="00E36997" w:rsidRPr="00E36997">
        <w:t>gNB</w:t>
      </w:r>
      <w:proofErr w:type="spellEnd"/>
      <w:r w:rsidR="00E36997" w:rsidRPr="00E36997">
        <w:t xml:space="preserve">-DU is connected to only one </w:t>
      </w:r>
      <w:proofErr w:type="spellStart"/>
      <w:r w:rsidR="00E36997" w:rsidRPr="00E36997">
        <w:t>gNB</w:t>
      </w:r>
      <w:proofErr w:type="spellEnd"/>
      <w:r w:rsidR="00E36997" w:rsidRPr="00E36997">
        <w:t>-CU.</w:t>
      </w:r>
      <w:r w:rsidR="00EF78A7">
        <w:t xml:space="preserve"> </w:t>
      </w:r>
      <w:r w:rsidR="00C05B5E">
        <w:t xml:space="preserve">There are 2 further options to be considered. </w:t>
      </w:r>
    </w:p>
    <w:p w14:paraId="283E4A72" w14:textId="242CB202" w:rsidR="00C05B5E" w:rsidRDefault="00C05B5E" w:rsidP="00C05B5E">
      <w:pPr>
        <w:pStyle w:val="ListParagraph"/>
        <w:numPr>
          <w:ilvl w:val="0"/>
          <w:numId w:val="26"/>
        </w:numPr>
      </w:pPr>
      <w:r>
        <w:t xml:space="preserve">Option </w:t>
      </w:r>
      <w:r w:rsidR="00AC7F5F">
        <w:t>A-1: an IAB node only ha</w:t>
      </w:r>
      <w:r w:rsidR="005A2C4D">
        <w:t>s</w:t>
      </w:r>
      <w:r w:rsidR="00AC7F5F">
        <w:t xml:space="preserve"> one collocated </w:t>
      </w:r>
      <w:proofErr w:type="spellStart"/>
      <w:r w:rsidR="00AC7F5F">
        <w:t>gNB</w:t>
      </w:r>
      <w:proofErr w:type="spellEnd"/>
      <w:r w:rsidR="00AC7F5F">
        <w:t xml:space="preserve">-DU. </w:t>
      </w:r>
    </w:p>
    <w:p w14:paraId="0057C65A" w14:textId="14B79406" w:rsidR="00AC7F5F" w:rsidRDefault="00AC7F5F" w:rsidP="00C05B5E">
      <w:pPr>
        <w:pStyle w:val="ListParagraph"/>
        <w:numPr>
          <w:ilvl w:val="0"/>
          <w:numId w:val="26"/>
        </w:numPr>
      </w:pPr>
      <w:r>
        <w:t xml:space="preserve">Option A-2: an IAB node have 2 collocated </w:t>
      </w:r>
      <w:proofErr w:type="spellStart"/>
      <w:r>
        <w:t>gNB</w:t>
      </w:r>
      <w:proofErr w:type="spellEnd"/>
      <w:r>
        <w:t xml:space="preserve">-DUs. </w:t>
      </w:r>
    </w:p>
    <w:p w14:paraId="3DDDBE64" w14:textId="70A3E5C6" w:rsidR="00EF78A7" w:rsidRDefault="00F8502F" w:rsidP="00CB1153">
      <w:r>
        <w:t>A typical inter-</w:t>
      </w:r>
      <w:proofErr w:type="spellStart"/>
      <w:r>
        <w:t>gNB</w:t>
      </w:r>
      <w:proofErr w:type="spellEnd"/>
      <w:r>
        <w:t xml:space="preserve"> handover procedure</w:t>
      </w:r>
      <w:r w:rsidR="009B7885">
        <w:t xml:space="preserve"> (from TS38.401)</w:t>
      </w:r>
      <w:r>
        <w:t xml:space="preserve"> is </w:t>
      </w:r>
      <w:r w:rsidR="000D55EB">
        <w:t>copied</w:t>
      </w:r>
      <w:r>
        <w:t xml:space="preserve"> as below</w:t>
      </w:r>
      <w:r w:rsidR="00214799">
        <w:t xml:space="preserve"> as reference</w:t>
      </w:r>
      <w:r>
        <w:t xml:space="preserve">. </w:t>
      </w:r>
    </w:p>
    <w:p w14:paraId="4FF21455" w14:textId="3AF99E15" w:rsidR="00F8502F" w:rsidRPr="00B8401F" w:rsidRDefault="00F8502F" w:rsidP="00F8502F">
      <w:pPr>
        <w:pStyle w:val="TH"/>
      </w:pPr>
      <w:r>
        <w:object w:dxaOrig="16470" w:dyaOrig="13935" w14:anchorId="7AC4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349.9pt" o:ole="">
            <v:imagedata r:id="rId13" o:title=""/>
          </v:shape>
          <o:OLEObject Type="Embed" ProgID="Visio.Drawing.15" ShapeID="_x0000_i1025" DrawAspect="Content" ObjectID="_1664955799" r:id="rId14"/>
        </w:object>
      </w:r>
    </w:p>
    <w:p w14:paraId="1502E91B" w14:textId="77777777" w:rsidR="00F8502F" w:rsidRPr="00B8401F" w:rsidRDefault="00F8502F" w:rsidP="00F8502F">
      <w:pPr>
        <w:pStyle w:val="TF"/>
      </w:pPr>
      <w:r w:rsidRPr="00B8401F">
        <w:t>Figure 8.9.4-1: Inter-gNB handover involving gNB-CU-UP change</w:t>
      </w:r>
    </w:p>
    <w:p w14:paraId="676FD99D" w14:textId="61B5BC7C" w:rsidR="00394C2D" w:rsidRDefault="00F8502F" w:rsidP="00696743">
      <w:pPr>
        <w:pStyle w:val="Heading2"/>
        <w:ind w:left="1134" w:hanging="1134"/>
      </w:pPr>
      <w:r>
        <w:t xml:space="preserve"> </w:t>
      </w:r>
      <w:r w:rsidR="007F273B" w:rsidRPr="00640EFB">
        <w:rPr>
          <w:rFonts w:eastAsia="宋体"/>
          <w:lang w:eastAsia="en-US"/>
        </w:rPr>
        <w:t>2.</w:t>
      </w:r>
      <w:r w:rsidR="007F273B">
        <w:rPr>
          <w:rFonts w:eastAsia="宋体"/>
          <w:lang w:eastAsia="en-US"/>
        </w:rPr>
        <w:t>1</w:t>
      </w:r>
      <w:r w:rsidR="007F273B" w:rsidRPr="00640EFB">
        <w:rPr>
          <w:rFonts w:eastAsia="宋体"/>
          <w:lang w:eastAsia="en-US"/>
        </w:rPr>
        <w:t xml:space="preserve">. </w:t>
      </w:r>
      <w:r w:rsidR="00980493">
        <w:rPr>
          <w:rFonts w:eastAsia="宋体"/>
          <w:lang w:eastAsia="en-US"/>
        </w:rPr>
        <w:t xml:space="preserve">an </w:t>
      </w:r>
      <w:r w:rsidR="007F273B">
        <w:rPr>
          <w:rFonts w:eastAsia="宋体"/>
          <w:lang w:eastAsia="en-US"/>
        </w:rPr>
        <w:t>IAB node</w:t>
      </w:r>
      <w:r w:rsidR="00980493">
        <w:rPr>
          <w:rFonts w:eastAsia="宋体"/>
          <w:lang w:eastAsia="en-US"/>
        </w:rPr>
        <w:t xml:space="preserve"> only ha</w:t>
      </w:r>
      <w:r w:rsidR="005A2C4D">
        <w:rPr>
          <w:rFonts w:eastAsia="宋体"/>
          <w:lang w:eastAsia="en-US"/>
        </w:rPr>
        <w:t>s</w:t>
      </w:r>
      <w:r w:rsidR="00980493">
        <w:rPr>
          <w:rFonts w:eastAsia="宋体"/>
          <w:lang w:eastAsia="en-US"/>
        </w:rPr>
        <w:t xml:space="preserve"> one gNB-DU</w:t>
      </w:r>
    </w:p>
    <w:p w14:paraId="68922FB2" w14:textId="140CBF03" w:rsidR="00B72780" w:rsidRDefault="009E2AAE" w:rsidP="00CB1153">
      <w:r>
        <w:t xml:space="preserve">In this option, an IAB node only </w:t>
      </w:r>
      <w:r w:rsidR="00FC3FCB">
        <w:t xml:space="preserve">has </w:t>
      </w:r>
      <w:r>
        <w:t xml:space="preserve">one gNB-DU. With current inter-gNB handover procedure, the Source gNB-DU and Target gNB-DU are referring to the same gNB-DU in the IAB node. </w:t>
      </w:r>
      <w:r w:rsidR="00EA1940">
        <w:t>Before the migrating IAB detach from the source cell, the IAB-DU only have the F1 interface with Source Donor. It is not possible</w:t>
      </w:r>
      <w:r w:rsidR="00FC3FCB">
        <w:t xml:space="preserve"> for</w:t>
      </w:r>
      <w:r w:rsidR="00EA1940">
        <w:t xml:space="preserve"> t</w:t>
      </w:r>
      <w:r w:rsidR="00C82528">
        <w:t>he IAB-DU to setup F1 interface with Target Donor, while maintain</w:t>
      </w:r>
      <w:r w:rsidR="00FC3FCB">
        <w:t>ing</w:t>
      </w:r>
      <w:r w:rsidR="00C82528">
        <w:t xml:space="preserve"> the F1 interface between the IAB-DU and Source Donor. </w:t>
      </w:r>
      <w:r w:rsidR="00F80850">
        <w:t>This may cause issues to the UE Context Setup in the target DU</w:t>
      </w:r>
      <w:r w:rsidR="00E12837">
        <w:t xml:space="preserve"> for the UE. </w:t>
      </w:r>
      <w:r w:rsidR="002D24D0">
        <w:t xml:space="preserve">Following aspects need to be studied. </w:t>
      </w:r>
    </w:p>
    <w:p w14:paraId="052BF7AD" w14:textId="3AEBA4CF" w:rsidR="002D24D0" w:rsidRDefault="00B16394" w:rsidP="002D24D0">
      <w:pPr>
        <w:pStyle w:val="ListParagraph"/>
        <w:numPr>
          <w:ilvl w:val="0"/>
          <w:numId w:val="26"/>
        </w:numPr>
      </w:pPr>
      <w:r>
        <w:t>Set</w:t>
      </w:r>
      <w:r w:rsidR="00107E54">
        <w:t xml:space="preserve">ting </w:t>
      </w:r>
      <w:r>
        <w:t xml:space="preserve">up </w:t>
      </w:r>
      <w:r w:rsidR="002D24D0">
        <w:t>F1 between IAB node and target Donor</w:t>
      </w:r>
      <w:r w:rsidR="00795DF3">
        <w:t xml:space="preserve"> over target path</w:t>
      </w:r>
    </w:p>
    <w:p w14:paraId="02C95C00" w14:textId="75EA4D4B" w:rsidR="002D24D0" w:rsidRDefault="007541A7" w:rsidP="002D24D0">
      <w:pPr>
        <w:pStyle w:val="ListParagraph"/>
      </w:pPr>
      <w:r>
        <w:t xml:space="preserve">Due to the change of the Donor-DU, the IAB’s outer IP address is changed. </w:t>
      </w:r>
      <w:r w:rsidR="002D24D0">
        <w:t xml:space="preserve">The IAB node need to establish the IPSec tunnel with target SeGW. The IAB node </w:t>
      </w:r>
      <w:r>
        <w:t xml:space="preserve">then </w:t>
      </w:r>
      <w:r w:rsidR="002D24D0">
        <w:t xml:space="preserve">initiate the F1 Setup with target Donor over the new IPSec tunnel. The F1 Setup procedure is to exchange the F1AP application level data needed for the gNB-DU and the gNB-CU to correctly interoperate on the F1 interface. The gNB-DU cell is only activated after the F1 setup is completed. Since the target Donor provide the configuration for the IAB-MT during the Handover Preparation/RRCReconfiguration procedure, it may be possible for target Donor also provide the F1AP configuration to IAB during the Handover Preparation/RRCReconfiguration procedure for the IAB-MT, thus it may not require an explicit F1 Setup procedure between the IAB-DU and target Donor, or the IAB-DU cell can be activated early before the normal F1 Setup procedure. </w:t>
      </w:r>
    </w:p>
    <w:p w14:paraId="17AD1AEB" w14:textId="77777777" w:rsidR="00EC766B" w:rsidRDefault="00EC766B" w:rsidP="00EC766B">
      <w:pPr>
        <w:pStyle w:val="ListParagraph"/>
      </w:pPr>
    </w:p>
    <w:p w14:paraId="691B27BC" w14:textId="77777777" w:rsidR="003C78D2" w:rsidRDefault="003C78D2" w:rsidP="003C78D2">
      <w:pPr>
        <w:pStyle w:val="ListParagraph"/>
        <w:numPr>
          <w:ilvl w:val="0"/>
          <w:numId w:val="26"/>
        </w:numPr>
      </w:pPr>
      <w:r>
        <w:t xml:space="preserve">Cell ID for the IAB node </w:t>
      </w:r>
    </w:p>
    <w:p w14:paraId="1A2B4807" w14:textId="77777777" w:rsidR="003F7761" w:rsidRDefault="003C78D2" w:rsidP="00372B5A">
      <w:pPr>
        <w:pStyle w:val="ListParagraph"/>
      </w:pPr>
      <w:r>
        <w:t xml:space="preserve">The NR Cell Identity (NCI) is related to the gNB-ID, i.e. </w:t>
      </w:r>
      <w:r w:rsidRPr="00B3541A">
        <w:t>The leftmost bits of the NR Cell Identity correspond to the gNB ID</w:t>
      </w:r>
      <w:r>
        <w:t xml:space="preserve">. After the IAB perform the inter-Donor migration, the IAB need to use cell NCIs that are related to target Donor. Traditionally, the OAM configures the gNB-DU for the NCIs to be used by the gNB-DU’s cells. </w:t>
      </w:r>
      <w:r w:rsidR="00ED67EE">
        <w:t xml:space="preserve">The IAB node may provide Target Donor information the OAM server, so OAM server configures IAB node with the new NCI to be used </w:t>
      </w:r>
      <w:r w:rsidR="00372B5A">
        <w:t xml:space="preserve">after IAB node is successfully connected with Target Donor. </w:t>
      </w:r>
      <w:r>
        <w:t xml:space="preserve">There may be the case that the IAB node has more than one neighbour </w:t>
      </w:r>
      <w:r>
        <w:lastRenderedPageBreak/>
        <w:t>Donor. The Source Donor may initiate multiple HO preparation procedure for the IAB node, e.g. one HO preparation per neighbour Donor. The actual target Donor is only known after the IAB-MT successfully connected to target cell</w:t>
      </w:r>
      <w:r w:rsidR="00347AAD">
        <w:t xml:space="preserve">, which means the IAB node only know the new NCI after the IAB is successfully connected with Target Donor. </w:t>
      </w:r>
    </w:p>
    <w:p w14:paraId="33A6E2DB" w14:textId="77777777" w:rsidR="003F7761" w:rsidRDefault="003F7761" w:rsidP="00372B5A">
      <w:pPr>
        <w:pStyle w:val="ListParagraph"/>
      </w:pPr>
    </w:p>
    <w:p w14:paraId="3F18C9F5" w14:textId="77777777" w:rsidR="00AF6377" w:rsidRDefault="00EB15F6" w:rsidP="00372B5A">
      <w:pPr>
        <w:pStyle w:val="ListParagraph"/>
      </w:pPr>
      <w:r>
        <w:t xml:space="preserve">Other option may be target Donor allocate the new cell ID, </w:t>
      </w:r>
      <w:r w:rsidR="00D46921">
        <w:t>and provide the new cell ID to the</w:t>
      </w:r>
      <w:r>
        <w:t xml:space="preserve"> IAB node via the RRCReconfiguration message. </w:t>
      </w:r>
    </w:p>
    <w:p w14:paraId="2685E457" w14:textId="77777777" w:rsidR="00AF6377" w:rsidRDefault="00AF6377" w:rsidP="00372B5A">
      <w:pPr>
        <w:pStyle w:val="ListParagraph"/>
      </w:pPr>
    </w:p>
    <w:p w14:paraId="51D0340F" w14:textId="35089D43" w:rsidR="003C78D2" w:rsidRDefault="00347AAD" w:rsidP="00372B5A">
      <w:pPr>
        <w:pStyle w:val="ListParagraph"/>
      </w:pPr>
      <w:r>
        <w:t>T</w:t>
      </w:r>
      <w:r w:rsidR="003C78D2">
        <w:t xml:space="preserve">his needs to be further studied on when/how the IAB node know the new NCIs to be used </w:t>
      </w:r>
      <w:r w:rsidR="00144798">
        <w:t>after the IAB is successfully connected with t</w:t>
      </w:r>
      <w:r w:rsidR="003C78D2">
        <w:t xml:space="preserve">arget Donor. </w:t>
      </w:r>
    </w:p>
    <w:p w14:paraId="6B691A16" w14:textId="77777777" w:rsidR="003C78D2" w:rsidRDefault="003C78D2" w:rsidP="003C78D2">
      <w:pPr>
        <w:pStyle w:val="ListParagraph"/>
      </w:pPr>
    </w:p>
    <w:p w14:paraId="5E0360C9" w14:textId="0418698C" w:rsidR="00EA1940" w:rsidRDefault="00EC766B" w:rsidP="002627FC">
      <w:pPr>
        <w:pStyle w:val="ListParagraph"/>
        <w:numPr>
          <w:ilvl w:val="0"/>
          <w:numId w:val="26"/>
        </w:numPr>
      </w:pPr>
      <w:r>
        <w:t xml:space="preserve">Handover preparation procedure for the </w:t>
      </w:r>
      <w:r w:rsidR="002627FC">
        <w:t>UE</w:t>
      </w:r>
      <w:r w:rsidR="0000324D">
        <w:t>.</w:t>
      </w:r>
    </w:p>
    <w:p w14:paraId="5684B9C1" w14:textId="77777777" w:rsidR="00D374B7" w:rsidRDefault="00EC766B" w:rsidP="00440743">
      <w:pPr>
        <w:pStyle w:val="ListParagraph"/>
      </w:pPr>
      <w:r>
        <w:t>Last RAN3 meeting agreed to “</w:t>
      </w:r>
      <w:r w:rsidRPr="00EC766B">
        <w:t>UEs and IAB-MTs should not be forced into connection re-establishment in order to migrate to a new donor</w:t>
      </w:r>
      <w:r>
        <w:t>.”</w:t>
      </w:r>
      <w:r w:rsidR="0000324D">
        <w:t xml:space="preserve"> </w:t>
      </w:r>
      <w:r>
        <w:t xml:space="preserve">One option is to use the handover procedure for the UE. </w:t>
      </w:r>
      <w:r w:rsidR="00440743">
        <w:t xml:space="preserve">Source Donor initiate the HO preparation procedure for the connected UE. </w:t>
      </w:r>
    </w:p>
    <w:p w14:paraId="2023C045" w14:textId="73269EA3" w:rsidR="00D374B7" w:rsidRDefault="00D374B7" w:rsidP="00440743">
      <w:pPr>
        <w:pStyle w:val="ListParagraph"/>
      </w:pPr>
    </w:p>
    <w:p w14:paraId="4AC2936E" w14:textId="5B19EF6D" w:rsidR="00440743" w:rsidRDefault="004B6DEA" w:rsidP="00F31A3E">
      <w:pPr>
        <w:pStyle w:val="ListParagraph"/>
      </w:pPr>
      <w:r>
        <w:t xml:space="preserve">It is unclear when the Source Donor initiate the HO preparation procedure for the UE. </w:t>
      </w:r>
      <w:r w:rsidR="00684B60">
        <w:t xml:space="preserve">To reduce the interruption to the UE, it may better that Source Donor initiate the HO preparation for the UE early, e.g. before the HO preparation for the IAB-MT. </w:t>
      </w:r>
      <w:r w:rsidR="00F31A3E">
        <w:t xml:space="preserve">But it may have an issue on how to set the Target Cell ID in the </w:t>
      </w:r>
      <w:r w:rsidR="00782FCE">
        <w:t xml:space="preserve">Xn </w:t>
      </w:r>
      <w:r w:rsidR="00440743">
        <w:t>HO Request message</w:t>
      </w:r>
      <w:r w:rsidR="00F31A3E">
        <w:t>, which</w:t>
      </w:r>
      <w:r w:rsidR="00440743">
        <w:t xml:space="preserve"> mandat</w:t>
      </w:r>
      <w:r w:rsidR="00F31A3E">
        <w:t>es the</w:t>
      </w:r>
      <w:r w:rsidR="00440743">
        <w:t xml:space="preserve"> target cell ID IE. </w:t>
      </w:r>
      <w:r w:rsidR="001D333A">
        <w:t>Source Donor need to know the target cell ID</w:t>
      </w:r>
      <w:r w:rsidR="004B58D3">
        <w:t xml:space="preserve">, i.e. the new NCI to be used by the IAB node after </w:t>
      </w:r>
      <w:r w:rsidR="004320D2">
        <w:t>topology adaptation</w:t>
      </w:r>
      <w:r w:rsidR="001D333A">
        <w:t>. This target cell ID information may be provided by the migrating IAB node, or by target Donor</w:t>
      </w:r>
      <w:r w:rsidR="006A27A3">
        <w:t xml:space="preserve"> if target Donor allocate the cell ID</w:t>
      </w:r>
      <w:r w:rsidR="001D333A">
        <w:t>. This needs to be further studied.</w:t>
      </w:r>
    </w:p>
    <w:p w14:paraId="58E2B1EF" w14:textId="77777777" w:rsidR="00440743" w:rsidRDefault="00440743" w:rsidP="00440743">
      <w:pPr>
        <w:pStyle w:val="ListParagraph"/>
      </w:pPr>
    </w:p>
    <w:p w14:paraId="1399BFB6" w14:textId="768CDE8C" w:rsidR="008F3EAC" w:rsidRDefault="008F3EAC" w:rsidP="008F3EAC">
      <w:pPr>
        <w:pStyle w:val="ListParagraph"/>
        <w:numPr>
          <w:ilvl w:val="0"/>
          <w:numId w:val="26"/>
        </w:numPr>
      </w:pPr>
      <w:r>
        <w:t>Set</w:t>
      </w:r>
      <w:r w:rsidR="00107E54">
        <w:t xml:space="preserve">ting </w:t>
      </w:r>
      <w:r>
        <w:t xml:space="preserve">up F1AP UE context in target Donor for the UE. </w:t>
      </w:r>
    </w:p>
    <w:p w14:paraId="0C5C75EC" w14:textId="77777777" w:rsidR="008F3EAC" w:rsidRDefault="008F3EAC" w:rsidP="008F3EAC">
      <w:pPr>
        <w:pStyle w:val="ListParagraph"/>
      </w:pPr>
      <w:r>
        <w:t xml:space="preserve">Considering it is the same physical node to serve the UE before the migration and after the migration, it may be possible for the IAB node to reuse the same configuration and F1AP context for the UE, while still allow the target Donor to make changes to the configuration and F1AP context. So, it may not require the target Donor to initiate the F1AP UE Context Setup procedure with target IAB-DU for the UE. For example, during the handover preparation for the IAB-MT, the UE context and F1AP related context for the UE is also transferred to target Donor. In case target Donor would like to change the F1AP context, the Target Donor may provide the updated F1AP context to source CU, which is then forwarded to the IAB-DU. </w:t>
      </w:r>
    </w:p>
    <w:p w14:paraId="5224992D" w14:textId="77777777" w:rsidR="008F3EAC" w:rsidRDefault="008F3EAC" w:rsidP="008F3EAC">
      <w:pPr>
        <w:pStyle w:val="ListParagraph"/>
      </w:pPr>
    </w:p>
    <w:p w14:paraId="61154743" w14:textId="085BAF1C" w:rsidR="008F3EAC" w:rsidRDefault="008F3EAC" w:rsidP="008F3EAC">
      <w:pPr>
        <w:pStyle w:val="ListParagraph"/>
      </w:pPr>
      <w:r>
        <w:t xml:space="preserve">Other options may also need to be studied, for example, when IAB-DU establish the F1 with target CU, target CU may retrieve the UE context from source Donor, thus avoid the F1 UE Context Setup procedure to be initiated for every connected UE. </w:t>
      </w:r>
    </w:p>
    <w:p w14:paraId="4232FF06" w14:textId="16738753" w:rsidR="00B3541A" w:rsidRDefault="00B3541A" w:rsidP="00440743">
      <w:pPr>
        <w:pStyle w:val="ListParagraph"/>
      </w:pPr>
    </w:p>
    <w:p w14:paraId="7AA69DF1" w14:textId="48088106" w:rsidR="008F6520" w:rsidRDefault="00B85B84" w:rsidP="00B85B84">
      <w:pPr>
        <w:rPr>
          <w:b/>
          <w:bCs/>
        </w:rPr>
      </w:pPr>
      <w:r w:rsidRPr="00D06E79">
        <w:rPr>
          <w:b/>
          <w:bCs/>
        </w:rPr>
        <w:t xml:space="preserve">Proposal </w:t>
      </w:r>
      <w:r>
        <w:rPr>
          <w:b/>
          <w:bCs/>
        </w:rPr>
        <w:t>1</w:t>
      </w:r>
      <w:r w:rsidRPr="00D06E79">
        <w:rPr>
          <w:b/>
          <w:bCs/>
        </w:rPr>
        <w:t xml:space="preserve">: </w:t>
      </w:r>
      <w:r w:rsidR="008F6520">
        <w:rPr>
          <w:b/>
          <w:bCs/>
        </w:rPr>
        <w:t>RAN3 study following issues when IAB node only ha</w:t>
      </w:r>
      <w:r w:rsidR="005A2C4D">
        <w:rPr>
          <w:b/>
          <w:bCs/>
        </w:rPr>
        <w:t>s</w:t>
      </w:r>
      <w:r w:rsidR="008F6520">
        <w:rPr>
          <w:b/>
          <w:bCs/>
        </w:rPr>
        <w:t xml:space="preserve"> one </w:t>
      </w:r>
      <w:r w:rsidR="00312FE9">
        <w:rPr>
          <w:b/>
          <w:bCs/>
        </w:rPr>
        <w:t>gNB</w:t>
      </w:r>
      <w:r w:rsidR="008F6520">
        <w:rPr>
          <w:b/>
          <w:bCs/>
        </w:rPr>
        <w:t>-DU:</w:t>
      </w:r>
    </w:p>
    <w:p w14:paraId="32D3B83E" w14:textId="66E2A1A6" w:rsidR="008878B2" w:rsidRPr="008038B5" w:rsidRDefault="008878B2" w:rsidP="008038B5">
      <w:pPr>
        <w:pStyle w:val="ListParagraph"/>
        <w:numPr>
          <w:ilvl w:val="0"/>
          <w:numId w:val="26"/>
        </w:numPr>
      </w:pPr>
      <w:r w:rsidRPr="008038B5">
        <w:t>Set</w:t>
      </w:r>
      <w:r w:rsidR="00107E54">
        <w:t xml:space="preserve">ting </w:t>
      </w:r>
      <w:r w:rsidRPr="008038B5">
        <w:t>up F1 between IAB node and target Donor</w:t>
      </w:r>
      <w:r w:rsidR="00E64446">
        <w:t xml:space="preserve"> over target path</w:t>
      </w:r>
    </w:p>
    <w:p w14:paraId="283092DF" w14:textId="69C2244E" w:rsidR="005D309C" w:rsidRPr="008038B5" w:rsidRDefault="005D309C" w:rsidP="008038B5">
      <w:pPr>
        <w:pStyle w:val="ListParagraph"/>
        <w:numPr>
          <w:ilvl w:val="0"/>
          <w:numId w:val="26"/>
        </w:numPr>
      </w:pPr>
      <w:r w:rsidRPr="008038B5">
        <w:t xml:space="preserve">Cell ID for the IAB node </w:t>
      </w:r>
    </w:p>
    <w:p w14:paraId="436243A9" w14:textId="55198C60" w:rsidR="005D309C" w:rsidRPr="008038B5" w:rsidRDefault="005D309C" w:rsidP="008038B5">
      <w:pPr>
        <w:pStyle w:val="ListParagraph"/>
        <w:numPr>
          <w:ilvl w:val="0"/>
          <w:numId w:val="26"/>
        </w:numPr>
      </w:pPr>
      <w:r w:rsidRPr="008038B5">
        <w:t>Handover preparation procedure for the UE.</w:t>
      </w:r>
    </w:p>
    <w:p w14:paraId="7F4FEA00" w14:textId="374C22B7" w:rsidR="008878B2" w:rsidRPr="008038B5" w:rsidRDefault="008878B2" w:rsidP="008038B5">
      <w:pPr>
        <w:pStyle w:val="ListParagraph"/>
        <w:numPr>
          <w:ilvl w:val="0"/>
          <w:numId w:val="26"/>
        </w:numPr>
      </w:pPr>
      <w:r w:rsidRPr="008038B5">
        <w:t>Set</w:t>
      </w:r>
      <w:r w:rsidR="00107E54">
        <w:t xml:space="preserve">ting </w:t>
      </w:r>
      <w:r w:rsidRPr="008038B5">
        <w:t xml:space="preserve">up F1AP UE context in target Donor for the UE. </w:t>
      </w:r>
    </w:p>
    <w:p w14:paraId="46140A50" w14:textId="094AA018" w:rsidR="0013711E" w:rsidRDefault="007B0FF7" w:rsidP="007B0FF7">
      <w:pPr>
        <w:pStyle w:val="Heading2"/>
        <w:ind w:left="1134" w:hanging="1134"/>
        <w:rPr>
          <w:rFonts w:eastAsia="宋体"/>
          <w:lang w:eastAsia="en-US"/>
        </w:rPr>
      </w:pPr>
      <w:r w:rsidRPr="00640EFB">
        <w:rPr>
          <w:rFonts w:eastAsia="宋体"/>
          <w:lang w:eastAsia="en-US"/>
        </w:rPr>
        <w:t>2.</w:t>
      </w:r>
      <w:r w:rsidR="00B0223E">
        <w:rPr>
          <w:rFonts w:eastAsia="宋体"/>
          <w:lang w:eastAsia="en-US"/>
        </w:rPr>
        <w:t>2</w:t>
      </w:r>
      <w:r w:rsidRPr="00640EFB">
        <w:rPr>
          <w:rFonts w:eastAsia="宋体"/>
          <w:lang w:eastAsia="en-US"/>
        </w:rPr>
        <w:t xml:space="preserve">. </w:t>
      </w:r>
      <w:r w:rsidR="0013711E">
        <w:rPr>
          <w:rFonts w:eastAsia="宋体"/>
          <w:lang w:eastAsia="en-US"/>
        </w:rPr>
        <w:t xml:space="preserve">an IAB node has </w:t>
      </w:r>
      <w:r w:rsidR="005A2C4D">
        <w:rPr>
          <w:rFonts w:eastAsia="宋体"/>
          <w:lang w:eastAsia="en-US"/>
        </w:rPr>
        <w:t xml:space="preserve">two </w:t>
      </w:r>
      <w:r w:rsidR="0013711E">
        <w:rPr>
          <w:rFonts w:eastAsia="宋体"/>
          <w:lang w:eastAsia="en-US"/>
        </w:rPr>
        <w:t>gNB-DUs</w:t>
      </w:r>
    </w:p>
    <w:p w14:paraId="6C338880" w14:textId="77777777" w:rsidR="00DA69D7" w:rsidRDefault="00E62C10" w:rsidP="00CB1153">
      <w:r>
        <w:t>In this option, an IAB node may have 2 IAB-DUs, i.e. the 1</w:t>
      </w:r>
      <w:r w:rsidRPr="00E62C10">
        <w:rPr>
          <w:vertAlign w:val="superscript"/>
        </w:rPr>
        <w:t>st</w:t>
      </w:r>
      <w:r>
        <w:t xml:space="preserve"> IAB-DU (e.g. IAB-DU1) for connection with Source Donor, and the 2</w:t>
      </w:r>
      <w:r w:rsidRPr="00E62C10">
        <w:rPr>
          <w:vertAlign w:val="superscript"/>
        </w:rPr>
        <w:t>nd</w:t>
      </w:r>
      <w:r>
        <w:t xml:space="preserve"> IAB-DU (e.g. IAB-DU2)</w:t>
      </w:r>
      <w:r w:rsidR="00D0381B">
        <w:t>.</w:t>
      </w:r>
      <w:r w:rsidR="00CF0864">
        <w:t xml:space="preserve"> Th</w:t>
      </w:r>
      <w:r w:rsidR="00207480">
        <w:t>is was discussed in contribution</w:t>
      </w:r>
      <w:r w:rsidR="00002BEA">
        <w:t xml:space="preserve"> ([1])</w:t>
      </w:r>
      <w:r w:rsidR="00DA69D7">
        <w:t>, which is copied as below:</w:t>
      </w:r>
    </w:p>
    <w:p w14:paraId="19C7F582" w14:textId="2E8B3E68" w:rsidR="00DA69D7" w:rsidRDefault="00DA69D7" w:rsidP="00DA69D7">
      <w:pPr>
        <w:keepNext/>
        <w:jc w:val="center"/>
      </w:pPr>
      <w:r>
        <w:rPr>
          <w:rFonts w:ascii="Times New Roman" w:hAnsi="Times New Roman"/>
        </w:rPr>
        <w:object w:dxaOrig="9978" w:dyaOrig="3822" w14:anchorId="019DB225">
          <v:shape id="_x0000_i1026" type="#_x0000_t75" style="width:482.25pt;height:184.9pt" o:ole="">
            <v:imagedata r:id="rId15" o:title=""/>
          </v:shape>
          <o:OLEObject Type="Embed" ProgID="Visio.Drawing.11" ShapeID="_x0000_i1026" DrawAspect="Content" ObjectID="_1664955800" r:id="rId16"/>
        </w:object>
      </w:r>
    </w:p>
    <w:p w14:paraId="27223B52" w14:textId="77777777" w:rsidR="00DA69D7" w:rsidRPr="000A130C" w:rsidRDefault="00DA69D7" w:rsidP="00DA69D7">
      <w:pPr>
        <w:pStyle w:val="Caption"/>
        <w:rPr>
          <w:rFonts w:ascii="Times New Roman" w:hAnsi="Times New Roman"/>
        </w:rPr>
      </w:pPr>
      <w:r>
        <w:t xml:space="preserve">Figure </w:t>
      </w:r>
      <w:r>
        <w:fldChar w:fldCharType="begin"/>
      </w:r>
      <w:r>
        <w:instrText xml:space="preserve"> SEQ Figure \* ARABIC </w:instrText>
      </w:r>
      <w:r>
        <w:fldChar w:fldCharType="separate"/>
      </w:r>
      <w:r>
        <w:rPr>
          <w:noProof/>
        </w:rPr>
        <w:t>2</w:t>
      </w:r>
      <w:r>
        <w:fldChar w:fldCharType="end"/>
      </w:r>
      <w:r>
        <w:rPr>
          <w:lang w:val="en-US"/>
        </w:rPr>
        <w:t xml:space="preserve">: </w:t>
      </w:r>
      <w:r w:rsidRPr="00DE6652">
        <w:rPr>
          <w:lang w:val="en-US"/>
        </w:rPr>
        <w:t>Options for inter-donor migration: 2a: UE context transfer indicates target cell to pertain to prospective IAB-DU (option 1), 2b: Source path is used for F1-C establishment by target IAB-DU (option 2), 2c: UE uses reestablishment procedure after F1-C</w:t>
      </w:r>
    </w:p>
    <w:p w14:paraId="34004F59" w14:textId="1845258B" w:rsidR="00DA69D7" w:rsidRDefault="003778BA" w:rsidP="00CB1153">
      <w:r>
        <w:t>In Option 2b, the F1-C between IAB-DU and target Donor is established while the F1-C between IAB-DU and Source Donor is active. This enables to reuse current inter-gNB handover procedure. An example call flow is shown as below:</w:t>
      </w:r>
    </w:p>
    <w:p w14:paraId="2FBE0C74" w14:textId="2D017C36" w:rsidR="003778BA" w:rsidRDefault="003A6111" w:rsidP="00CB1153">
      <w:r>
        <w:object w:dxaOrig="18406" w:dyaOrig="14250" w14:anchorId="0D9FDFB5">
          <v:shape id="_x0000_i1027" type="#_x0000_t75" style="width:481.5pt;height:372.75pt" o:ole="">
            <v:imagedata r:id="rId17" o:title=""/>
          </v:shape>
          <o:OLEObject Type="Embed" ProgID="Visio.Drawing.15" ShapeID="_x0000_i1027" DrawAspect="Content" ObjectID="_1664955801" r:id="rId18"/>
        </w:object>
      </w:r>
    </w:p>
    <w:p w14:paraId="3B8B2776" w14:textId="3377B4A2" w:rsidR="00E62C10" w:rsidRDefault="00E62C10" w:rsidP="00CB1153"/>
    <w:p w14:paraId="1259781B" w14:textId="242A0AA9" w:rsidR="003A6111" w:rsidRDefault="006B2866" w:rsidP="00CB1153">
      <w:r>
        <w:t>Following aspects need to be studied</w:t>
      </w:r>
      <w:r w:rsidR="003A6111">
        <w:t>:</w:t>
      </w:r>
    </w:p>
    <w:p w14:paraId="2A2CB794" w14:textId="01F112CC" w:rsidR="00FF0B02" w:rsidRDefault="00FF0B02" w:rsidP="00FF0B02">
      <w:pPr>
        <w:pStyle w:val="ListParagraph"/>
        <w:numPr>
          <w:ilvl w:val="0"/>
          <w:numId w:val="26"/>
        </w:numPr>
      </w:pPr>
      <w:r>
        <w:t>Set</w:t>
      </w:r>
      <w:r w:rsidR="00107E54">
        <w:t xml:space="preserve">ting </w:t>
      </w:r>
      <w:r>
        <w:t>up F1 between IAB node and target Donor</w:t>
      </w:r>
      <w:r w:rsidR="00886A69">
        <w:t xml:space="preserve"> over source path</w:t>
      </w:r>
    </w:p>
    <w:p w14:paraId="0CA7D4E0" w14:textId="77FE5650" w:rsidR="00E82F93" w:rsidRPr="00553CBE" w:rsidRDefault="00FF0B02" w:rsidP="00E82F93">
      <w:pPr>
        <w:pStyle w:val="ListParagraph"/>
      </w:pPr>
      <w:r>
        <w:lastRenderedPageBreak/>
        <w:t>In this option, IAB-DU2 can initiate</w:t>
      </w:r>
      <w:r w:rsidR="001671F4">
        <w:t xml:space="preserve"> the SCTP/F1 Setup with Donor2 over the source path. </w:t>
      </w:r>
      <w:r w:rsidR="00CA0210">
        <w:t>In Step 5, the IAB-DU2 initiate the SCTP</w:t>
      </w:r>
      <w:r w:rsidR="00A85DC7">
        <w:t>/F1</w:t>
      </w:r>
      <w:r w:rsidR="00CA0210">
        <w:t xml:space="preserve"> establishment with Donor2 over the source path. </w:t>
      </w:r>
      <w:r w:rsidR="00F65718">
        <w:t xml:space="preserve">IAB-DU2 may be configured with the information of Donor2. </w:t>
      </w:r>
      <w:r w:rsidR="006364F1">
        <w:t xml:space="preserve">So it may not be a problem for UL, i.e. IAB-DU2 use the current UL mapping to send the IP packet with destination address set to Donor2’s IP address. When Donor2 send the </w:t>
      </w:r>
      <w:r w:rsidR="001E50B7">
        <w:t xml:space="preserve">DL IP packet with destination address set to IAB’s IP address, the DL IP packet shall be routed to </w:t>
      </w:r>
      <w:r w:rsidR="00A665EB">
        <w:t xml:space="preserve">a Donor-DU of Donor1. In order for Donor1-DU to preform the traffic mapping, </w:t>
      </w:r>
      <w:r w:rsidR="00ED29F7">
        <w:t>Donor2 shall use the same DSCP/IPv6 Flow Label as Donor1 for F1-C, or Donor</w:t>
      </w:r>
      <w:r w:rsidR="00CC7C09">
        <w:t xml:space="preserve">1 informs Donor2 for the related DSCP/IPv6 Flow Label, which is similar to NSA IAB that Donor provide the </w:t>
      </w:r>
      <w:r w:rsidR="00CC7C09">
        <w:rPr>
          <w:i/>
          <w:iCs/>
        </w:rPr>
        <w:t>QoS Mapping Information</w:t>
      </w:r>
      <w:r w:rsidR="004957C8">
        <w:rPr>
          <w:i/>
          <w:iCs/>
        </w:rPr>
        <w:t xml:space="preserve"> </w:t>
      </w:r>
      <w:r w:rsidR="004957C8">
        <w:t>(i.e. DSCP, IPv6 Flow Label)</w:t>
      </w:r>
      <w:r w:rsidR="00CC7C09">
        <w:rPr>
          <w:i/>
          <w:iCs/>
        </w:rPr>
        <w:t xml:space="preserve"> </w:t>
      </w:r>
      <w:r w:rsidR="00CC7C09">
        <w:t xml:space="preserve">to MeNB. </w:t>
      </w:r>
      <w:r w:rsidR="00553CBE">
        <w:t xml:space="preserve">It may require the Donor1 to provide the </w:t>
      </w:r>
      <w:r w:rsidR="00553CBE">
        <w:rPr>
          <w:i/>
          <w:iCs/>
        </w:rPr>
        <w:t xml:space="preserve">QOS Mapping Information </w:t>
      </w:r>
      <w:r w:rsidR="00553CBE">
        <w:t xml:space="preserve">to Donor2, so Donor2 use the DSCP/IPV6 Flow Label when send the DL IP packet to IAB-DU2 </w:t>
      </w:r>
      <w:r w:rsidR="00E461C4">
        <w:t>over the source path.</w:t>
      </w:r>
    </w:p>
    <w:p w14:paraId="7D2CD250" w14:textId="77777777" w:rsidR="00E82F93" w:rsidRDefault="00E82F93" w:rsidP="00E82F93">
      <w:pPr>
        <w:pStyle w:val="ListParagraph"/>
      </w:pPr>
    </w:p>
    <w:p w14:paraId="5E5F1CC4" w14:textId="77777777" w:rsidR="00E5541E" w:rsidRDefault="00E5541E" w:rsidP="00E5541E">
      <w:pPr>
        <w:pStyle w:val="ListParagraph"/>
        <w:numPr>
          <w:ilvl w:val="0"/>
          <w:numId w:val="26"/>
        </w:numPr>
      </w:pPr>
      <w:r>
        <w:t xml:space="preserve">Cell ID for the IAB node </w:t>
      </w:r>
    </w:p>
    <w:p w14:paraId="0B63F89F" w14:textId="0076D702" w:rsidR="000A72D6" w:rsidRDefault="00E5541E" w:rsidP="000A72D6">
      <w:pPr>
        <w:pStyle w:val="ListParagraph"/>
      </w:pPr>
      <w:r>
        <w:t xml:space="preserve">This is similar to </w:t>
      </w:r>
      <w:r w:rsidR="002E13BD">
        <w:t>the issue discussed in Section 2.1</w:t>
      </w:r>
      <w:r w:rsidR="000A72D6">
        <w:t xml:space="preserve">. This needs to be further studied on when/how the IAB node know the new NCIs to be used after the IAB is successfully connected with target Donor. </w:t>
      </w:r>
    </w:p>
    <w:p w14:paraId="2E764C90" w14:textId="77777777" w:rsidR="000A72D6" w:rsidRDefault="000A72D6" w:rsidP="00E5541E">
      <w:pPr>
        <w:pStyle w:val="ListParagraph"/>
      </w:pPr>
    </w:p>
    <w:p w14:paraId="31F66BED" w14:textId="4BBDAA8C" w:rsidR="00185C8D" w:rsidRDefault="00185C8D" w:rsidP="00185C8D">
      <w:pPr>
        <w:pStyle w:val="ListParagraph"/>
        <w:numPr>
          <w:ilvl w:val="0"/>
          <w:numId w:val="26"/>
        </w:numPr>
      </w:pPr>
      <w:r>
        <w:t>Handover preparation procedure for the UE.</w:t>
      </w:r>
    </w:p>
    <w:p w14:paraId="79499153" w14:textId="77777777" w:rsidR="002E481A" w:rsidRDefault="002E481A" w:rsidP="002E481A">
      <w:pPr>
        <w:pStyle w:val="ListParagraph"/>
      </w:pPr>
      <w:r>
        <w:t xml:space="preserve">This is similar to the issue discussed in Section 2.1. It need further study on when initiate the HO preparation procedure for the UE, and how Source Donor know the target cell ID when initiate the HO preparation procedure for the UE. </w:t>
      </w:r>
    </w:p>
    <w:p w14:paraId="23F2ECEA" w14:textId="77777777" w:rsidR="00185C8D" w:rsidRDefault="00185C8D" w:rsidP="00185C8D">
      <w:pPr>
        <w:pStyle w:val="ListParagraph"/>
      </w:pPr>
    </w:p>
    <w:p w14:paraId="461EF415" w14:textId="72C7878A" w:rsidR="00782FCE" w:rsidRDefault="00782FCE" w:rsidP="00782FCE">
      <w:pPr>
        <w:pStyle w:val="ListParagraph"/>
        <w:numPr>
          <w:ilvl w:val="0"/>
          <w:numId w:val="26"/>
        </w:numPr>
      </w:pPr>
      <w:r w:rsidRPr="00E82F93">
        <w:t>Set</w:t>
      </w:r>
      <w:r w:rsidR="00107E54">
        <w:t xml:space="preserve">ting </w:t>
      </w:r>
      <w:r w:rsidRPr="00E82F93">
        <w:t xml:space="preserve">up F1AP UE context in target Donor for the UE. </w:t>
      </w:r>
    </w:p>
    <w:p w14:paraId="2C86A066" w14:textId="77777777" w:rsidR="00782FCE" w:rsidRDefault="00782FCE" w:rsidP="00782FCE">
      <w:pPr>
        <w:pStyle w:val="ListParagraph"/>
      </w:pPr>
      <w:r>
        <w:t xml:space="preserve">In this option, the normal F1 UE Context Setup procedure can be used to setup the F1AP UE context </w:t>
      </w:r>
    </w:p>
    <w:p w14:paraId="43C42991" w14:textId="577B8893" w:rsidR="00782FCE" w:rsidRDefault="00782FCE" w:rsidP="00782FCE">
      <w:pPr>
        <w:pStyle w:val="ListParagraph"/>
      </w:pPr>
      <w:r>
        <w:t xml:space="preserve">F1AP Context in target Donor. In case of there are many UEs connected to the IAB node, this may cause signalling storm. Further study is needed to reduce the signalling storm, e.g. transfer the F1AP UE context from source Donor to target Donor, Target Donor only need initiate the UE Context Update procedure in case target Donor change the related UE context. </w:t>
      </w:r>
    </w:p>
    <w:p w14:paraId="15D0E1D4" w14:textId="09E959F6" w:rsidR="003A6111" w:rsidRDefault="003A6111" w:rsidP="009D3331"/>
    <w:p w14:paraId="37623425" w14:textId="20587C52" w:rsidR="00096D41" w:rsidRDefault="00096D41" w:rsidP="00096D41">
      <w:pPr>
        <w:rPr>
          <w:b/>
          <w:bCs/>
        </w:rPr>
      </w:pPr>
      <w:r w:rsidRPr="00D06E79">
        <w:rPr>
          <w:b/>
          <w:bCs/>
        </w:rPr>
        <w:t xml:space="preserve">Proposal </w:t>
      </w:r>
      <w:r w:rsidR="00E31CF9">
        <w:rPr>
          <w:b/>
          <w:bCs/>
        </w:rPr>
        <w:t>2</w:t>
      </w:r>
      <w:r w:rsidRPr="00D06E79">
        <w:rPr>
          <w:b/>
          <w:bCs/>
        </w:rPr>
        <w:t xml:space="preserve">: </w:t>
      </w:r>
      <w:r>
        <w:rPr>
          <w:b/>
          <w:bCs/>
        </w:rPr>
        <w:t>RAN3 study following issues when IAB node ha</w:t>
      </w:r>
      <w:r w:rsidR="005A2C4D">
        <w:rPr>
          <w:b/>
          <w:bCs/>
        </w:rPr>
        <w:t>s</w:t>
      </w:r>
      <w:r>
        <w:rPr>
          <w:b/>
          <w:bCs/>
        </w:rPr>
        <w:t xml:space="preserve"> </w:t>
      </w:r>
      <w:r w:rsidR="00E01957">
        <w:rPr>
          <w:b/>
          <w:bCs/>
        </w:rPr>
        <w:t>2</w:t>
      </w:r>
      <w:r>
        <w:rPr>
          <w:b/>
          <w:bCs/>
        </w:rPr>
        <w:t xml:space="preserve"> </w:t>
      </w:r>
      <w:r w:rsidR="0026224F">
        <w:rPr>
          <w:b/>
          <w:bCs/>
        </w:rPr>
        <w:t>gNB</w:t>
      </w:r>
      <w:r>
        <w:rPr>
          <w:b/>
          <w:bCs/>
        </w:rPr>
        <w:t>-DU</w:t>
      </w:r>
      <w:r w:rsidR="005A2C4D">
        <w:rPr>
          <w:b/>
          <w:bCs/>
        </w:rPr>
        <w:t>s</w:t>
      </w:r>
      <w:r>
        <w:rPr>
          <w:b/>
          <w:bCs/>
        </w:rPr>
        <w:t>:</w:t>
      </w:r>
    </w:p>
    <w:p w14:paraId="3A62F52B" w14:textId="6D7431A8" w:rsidR="003A22BC" w:rsidRDefault="003A22BC" w:rsidP="003A22BC">
      <w:pPr>
        <w:pStyle w:val="ListParagraph"/>
        <w:numPr>
          <w:ilvl w:val="0"/>
          <w:numId w:val="26"/>
        </w:numPr>
      </w:pPr>
      <w:r>
        <w:t>Set</w:t>
      </w:r>
      <w:r w:rsidR="00107E54">
        <w:t xml:space="preserve">ting </w:t>
      </w:r>
      <w:r>
        <w:t>up F1 between IAB node and target Donor over source path</w:t>
      </w:r>
    </w:p>
    <w:p w14:paraId="7F718110" w14:textId="7BB8C600" w:rsidR="003A22BC" w:rsidRPr="003A22BC" w:rsidRDefault="003A22BC" w:rsidP="003A22BC">
      <w:pPr>
        <w:pStyle w:val="ListParagraph"/>
        <w:numPr>
          <w:ilvl w:val="0"/>
          <w:numId w:val="26"/>
        </w:numPr>
      </w:pPr>
      <w:r w:rsidRPr="003A22BC">
        <w:t>Cell ID for the IAB node</w:t>
      </w:r>
    </w:p>
    <w:p w14:paraId="3A25C881" w14:textId="77777777" w:rsidR="003A22BC" w:rsidRPr="003A22BC" w:rsidRDefault="003A22BC" w:rsidP="003A22BC">
      <w:pPr>
        <w:pStyle w:val="ListParagraph"/>
        <w:numPr>
          <w:ilvl w:val="0"/>
          <w:numId w:val="26"/>
        </w:numPr>
      </w:pPr>
      <w:r w:rsidRPr="003A22BC">
        <w:t>Handover preparation procedure for the UE.</w:t>
      </w:r>
    </w:p>
    <w:p w14:paraId="13B065F9" w14:textId="316A40AF" w:rsidR="00096D41" w:rsidRPr="003A22BC" w:rsidRDefault="00096D41" w:rsidP="003A22BC">
      <w:pPr>
        <w:pStyle w:val="ListParagraph"/>
        <w:numPr>
          <w:ilvl w:val="0"/>
          <w:numId w:val="26"/>
        </w:numPr>
      </w:pPr>
      <w:r w:rsidRPr="003A22BC">
        <w:t>Set</w:t>
      </w:r>
      <w:r w:rsidR="00107E54">
        <w:t xml:space="preserve">ting </w:t>
      </w:r>
      <w:r w:rsidRPr="003A22BC">
        <w:t xml:space="preserve">up F1AP UE context in target Donor for the UE. </w:t>
      </w:r>
      <w:r w:rsidRPr="003A22BC">
        <w:tab/>
        <w:t xml:space="preserve"> </w:t>
      </w:r>
    </w:p>
    <w:p w14:paraId="7061DFE1" w14:textId="75CDD5F0" w:rsidR="00B0223E" w:rsidRDefault="00B0223E" w:rsidP="00CB1153">
      <w:pPr>
        <w:rPr>
          <w:b/>
          <w:bCs/>
        </w:rPr>
      </w:pPr>
    </w:p>
    <w:p w14:paraId="1DC384CD" w14:textId="7FCD4BE3" w:rsidR="00AC2348" w:rsidRDefault="00AC2348" w:rsidP="00AC2348">
      <w:pPr>
        <w:pStyle w:val="Heading1"/>
      </w:pPr>
      <w:r>
        <w:t>Discussion</w:t>
      </w:r>
      <w:r w:rsidR="007A0363">
        <w:t xml:space="preserve"> on </w:t>
      </w:r>
      <w:r w:rsidR="00107E54">
        <w:t>“</w:t>
      </w:r>
      <w:r w:rsidR="007A0363">
        <w:t>IAB-</w:t>
      </w:r>
      <w:r w:rsidR="00003047">
        <w:t xml:space="preserve">MT </w:t>
      </w:r>
      <w:r w:rsidR="007A0363">
        <w:t>is simultaneously connected to 2 donor-CUs</w:t>
      </w:r>
      <w:r w:rsidR="00107E54">
        <w:t>”</w:t>
      </w:r>
    </w:p>
    <w:p w14:paraId="658F454D" w14:textId="14BF992F" w:rsidR="0090683C" w:rsidRDefault="0090683C" w:rsidP="0090683C">
      <w:pPr>
        <w:overflowPunct/>
        <w:autoSpaceDE/>
        <w:autoSpaceDN/>
        <w:adjustRightInd/>
        <w:spacing w:after="60"/>
        <w:jc w:val="left"/>
        <w:textAlignment w:val="auto"/>
      </w:pPr>
      <w:r>
        <w:t xml:space="preserve">This section analyses the options for </w:t>
      </w:r>
      <w:r w:rsidRPr="0090683C">
        <w:t>b) IAB-MT is simultaneously connected to two IAB-donors</w:t>
      </w:r>
      <w:r>
        <w:t>.</w:t>
      </w:r>
      <w:r w:rsidR="00487C69">
        <w:t xml:space="preserve"> </w:t>
      </w:r>
    </w:p>
    <w:p w14:paraId="15645AAC" w14:textId="45F72D9C" w:rsidR="00487C69" w:rsidRDefault="00487C69" w:rsidP="0090683C">
      <w:pPr>
        <w:overflowPunct/>
        <w:autoSpaceDE/>
        <w:autoSpaceDN/>
        <w:adjustRightInd/>
        <w:spacing w:after="60"/>
        <w:jc w:val="left"/>
        <w:textAlignment w:val="auto"/>
      </w:pPr>
    </w:p>
    <w:p w14:paraId="369D8B32" w14:textId="5B4646F5" w:rsidR="00487C69" w:rsidRDefault="00487C69" w:rsidP="0090683C">
      <w:pPr>
        <w:overflowPunct/>
        <w:autoSpaceDE/>
        <w:autoSpaceDN/>
        <w:adjustRightInd/>
        <w:spacing w:after="60"/>
        <w:jc w:val="left"/>
        <w:textAlignment w:val="auto"/>
      </w:pPr>
      <w:r>
        <w:t>When the I</w:t>
      </w:r>
      <w:r w:rsidR="00755408">
        <w:t>A</w:t>
      </w:r>
      <w:r>
        <w:t xml:space="preserve">B-MT is </w:t>
      </w:r>
      <w:r w:rsidR="002A5C9F" w:rsidRPr="0090683C">
        <w:t>simultaneously</w:t>
      </w:r>
      <w:r w:rsidR="002A5C9F">
        <w:t xml:space="preserve"> connected to two IAB-Donors, </w:t>
      </w:r>
      <w:r w:rsidR="00755408">
        <w:t>the main issue is still the handling for the UEs connected to the migrating IAB node (and descendant IAB nodes)</w:t>
      </w:r>
      <w:r w:rsidR="00876EDC">
        <w:t xml:space="preserve">. It is </w:t>
      </w:r>
      <w:r w:rsidR="00C604A5">
        <w:t>highly related whether the IAB node only have one gNB-DU or have 2 gNB-DUs. T</w:t>
      </w:r>
      <w:r w:rsidR="00357DC7">
        <w:t xml:space="preserve">he issues are similar to the ones discussed in Section 2. </w:t>
      </w:r>
      <w:r w:rsidR="001558FD">
        <w:t>We propose to discuss the issues together</w:t>
      </w:r>
      <w:r w:rsidR="00F45ED4">
        <w:t xml:space="preserve"> and focus the discussion on whether the IAB node only have one gNB-DU, or have 2 gNB-DUs</w:t>
      </w:r>
      <w:r w:rsidR="001558FD">
        <w:t xml:space="preserve">. </w:t>
      </w:r>
    </w:p>
    <w:p w14:paraId="749546A1" w14:textId="02DB9236" w:rsidR="00AC2348" w:rsidRDefault="00AC2348" w:rsidP="00CB1153">
      <w:pPr>
        <w:rPr>
          <w:b/>
          <w:bCs/>
        </w:rPr>
      </w:pPr>
    </w:p>
    <w:p w14:paraId="0391CA60" w14:textId="54B8A79A" w:rsidR="00B6560D" w:rsidRDefault="00F45ED4" w:rsidP="00E91E88">
      <w:pPr>
        <w:rPr>
          <w:b/>
          <w:bCs/>
        </w:rPr>
      </w:pPr>
      <w:r>
        <w:rPr>
          <w:b/>
          <w:bCs/>
        </w:rPr>
        <w:t xml:space="preserve">Observation: when the IAB-MT </w:t>
      </w:r>
      <w:r w:rsidR="00495A77">
        <w:rPr>
          <w:b/>
          <w:bCs/>
        </w:rPr>
        <w:t>is</w:t>
      </w:r>
      <w:r>
        <w:rPr>
          <w:b/>
          <w:bCs/>
        </w:rPr>
        <w:t xml:space="preserve"> </w:t>
      </w:r>
      <w:r w:rsidR="00495A77" w:rsidRPr="00495A77">
        <w:rPr>
          <w:b/>
          <w:bCs/>
        </w:rPr>
        <w:t>simultaneously connected to 2 donor-CUs</w:t>
      </w:r>
      <w:r w:rsidR="004E1402">
        <w:rPr>
          <w:b/>
          <w:bCs/>
        </w:rPr>
        <w:t xml:space="preserve">, </w:t>
      </w:r>
      <w:r w:rsidR="005B25F7">
        <w:rPr>
          <w:b/>
          <w:bCs/>
        </w:rPr>
        <w:t xml:space="preserve">the handling for the connected UE depends on whether the IAB node has one gNB-DU, or 2 gNB-DUs. </w:t>
      </w:r>
    </w:p>
    <w:p w14:paraId="535F4E66" w14:textId="77777777" w:rsidR="00F45ED4" w:rsidRPr="00F45ED4" w:rsidRDefault="00F45ED4" w:rsidP="00E91E88">
      <w:pPr>
        <w:rPr>
          <w:b/>
          <w:bCs/>
        </w:rPr>
      </w:pPr>
    </w:p>
    <w:p w14:paraId="6F5F9477" w14:textId="40CF9995" w:rsidR="004F4756" w:rsidRDefault="004F4756" w:rsidP="00952130">
      <w:pPr>
        <w:pStyle w:val="Heading1"/>
      </w:pPr>
      <w:r>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4C6E7A45" w14:textId="77777777" w:rsidR="00A85053" w:rsidRDefault="00A85053" w:rsidP="00A85053">
      <w:pPr>
        <w:rPr>
          <w:b/>
          <w:bCs/>
        </w:rPr>
      </w:pPr>
      <w:r>
        <w:rPr>
          <w:b/>
          <w:bCs/>
        </w:rPr>
        <w:lastRenderedPageBreak/>
        <w:t xml:space="preserve">Observation: when the IAB-MT is </w:t>
      </w:r>
      <w:r w:rsidRPr="00495A77">
        <w:rPr>
          <w:b/>
          <w:bCs/>
        </w:rPr>
        <w:t>simultaneously connected to 2 donor-CUs</w:t>
      </w:r>
      <w:r>
        <w:rPr>
          <w:b/>
          <w:bCs/>
        </w:rPr>
        <w:t xml:space="preserve">, the handling for the connected UE depends on whether the IAB node has one gNB-DU, or 2 gNB-DUs. </w:t>
      </w:r>
    </w:p>
    <w:p w14:paraId="3B60D45E" w14:textId="77777777" w:rsidR="00092BAB" w:rsidRDefault="00092BAB" w:rsidP="007E7047">
      <w:pPr>
        <w:rPr>
          <w:b/>
          <w:bCs/>
        </w:rPr>
      </w:pPr>
    </w:p>
    <w:p w14:paraId="5295761A" w14:textId="7DA60D02" w:rsidR="007E7047" w:rsidRDefault="007E7047" w:rsidP="007E7047">
      <w:pPr>
        <w:rPr>
          <w:b/>
          <w:bCs/>
        </w:rPr>
      </w:pPr>
      <w:r w:rsidRPr="00D06E79">
        <w:rPr>
          <w:b/>
          <w:bCs/>
        </w:rPr>
        <w:t xml:space="preserve">Proposal </w:t>
      </w:r>
      <w:r>
        <w:rPr>
          <w:b/>
          <w:bCs/>
        </w:rPr>
        <w:t>1</w:t>
      </w:r>
      <w:r w:rsidRPr="00D06E79">
        <w:rPr>
          <w:b/>
          <w:bCs/>
        </w:rPr>
        <w:t xml:space="preserve">: </w:t>
      </w:r>
      <w:r>
        <w:rPr>
          <w:b/>
          <w:bCs/>
        </w:rPr>
        <w:t>RAN3 study following issues when IAB node only ha</w:t>
      </w:r>
      <w:r w:rsidR="00107E54">
        <w:rPr>
          <w:b/>
          <w:bCs/>
        </w:rPr>
        <w:t>s</w:t>
      </w:r>
      <w:r>
        <w:rPr>
          <w:b/>
          <w:bCs/>
        </w:rPr>
        <w:t xml:space="preserve"> one </w:t>
      </w:r>
      <w:r w:rsidR="00C249FF">
        <w:rPr>
          <w:b/>
          <w:bCs/>
        </w:rPr>
        <w:t>gNB</w:t>
      </w:r>
      <w:r>
        <w:rPr>
          <w:b/>
          <w:bCs/>
        </w:rPr>
        <w:t>-DU:</w:t>
      </w:r>
    </w:p>
    <w:p w14:paraId="4AE093FE" w14:textId="5B5BCFB8" w:rsidR="007E7047" w:rsidRPr="008038B5" w:rsidRDefault="007E7047" w:rsidP="007E7047">
      <w:pPr>
        <w:pStyle w:val="ListParagraph"/>
        <w:numPr>
          <w:ilvl w:val="0"/>
          <w:numId w:val="26"/>
        </w:numPr>
      </w:pPr>
      <w:r w:rsidRPr="008038B5">
        <w:t>Set</w:t>
      </w:r>
      <w:r w:rsidR="00107E54">
        <w:t xml:space="preserve">ting </w:t>
      </w:r>
      <w:r w:rsidRPr="008038B5">
        <w:t>up F1 between IAB node and target Donor</w:t>
      </w:r>
      <w:r>
        <w:t xml:space="preserve"> over target path</w:t>
      </w:r>
    </w:p>
    <w:p w14:paraId="249A5B3B" w14:textId="77777777" w:rsidR="007E7047" w:rsidRPr="008038B5" w:rsidRDefault="007E7047" w:rsidP="007E7047">
      <w:pPr>
        <w:pStyle w:val="ListParagraph"/>
        <w:numPr>
          <w:ilvl w:val="0"/>
          <w:numId w:val="26"/>
        </w:numPr>
      </w:pPr>
      <w:r w:rsidRPr="008038B5">
        <w:t xml:space="preserve">Cell ID for the IAB node </w:t>
      </w:r>
    </w:p>
    <w:p w14:paraId="50AAA5BF" w14:textId="77777777" w:rsidR="007E7047" w:rsidRPr="008038B5" w:rsidRDefault="007E7047" w:rsidP="007E7047">
      <w:pPr>
        <w:pStyle w:val="ListParagraph"/>
        <w:numPr>
          <w:ilvl w:val="0"/>
          <w:numId w:val="26"/>
        </w:numPr>
      </w:pPr>
      <w:r w:rsidRPr="008038B5">
        <w:t>Handover preparation procedure for the UE.</w:t>
      </w:r>
    </w:p>
    <w:p w14:paraId="3DA57CE2" w14:textId="3C2D6880" w:rsidR="007E7047" w:rsidRPr="008038B5" w:rsidRDefault="007E7047" w:rsidP="007E7047">
      <w:pPr>
        <w:pStyle w:val="ListParagraph"/>
        <w:numPr>
          <w:ilvl w:val="0"/>
          <w:numId w:val="26"/>
        </w:numPr>
      </w:pPr>
      <w:r w:rsidRPr="008038B5">
        <w:t>Set</w:t>
      </w:r>
      <w:r w:rsidR="00107E54">
        <w:t xml:space="preserve">ting </w:t>
      </w:r>
      <w:r w:rsidRPr="008038B5">
        <w:t xml:space="preserve">up F1AP UE context in target Donor for the UE. </w:t>
      </w:r>
    </w:p>
    <w:p w14:paraId="1BF9F874" w14:textId="77777777" w:rsidR="007E7047" w:rsidRDefault="007E7047" w:rsidP="007E7047"/>
    <w:p w14:paraId="5FBD34CF" w14:textId="5985B5CC" w:rsidR="007E7047" w:rsidRDefault="007E7047" w:rsidP="007E7047">
      <w:pPr>
        <w:rPr>
          <w:b/>
          <w:bCs/>
        </w:rPr>
      </w:pPr>
      <w:r w:rsidRPr="00D06E79">
        <w:rPr>
          <w:b/>
          <w:bCs/>
        </w:rPr>
        <w:t xml:space="preserve">Proposal </w:t>
      </w:r>
      <w:r>
        <w:rPr>
          <w:b/>
          <w:bCs/>
        </w:rPr>
        <w:t>2</w:t>
      </w:r>
      <w:r w:rsidRPr="00D06E79">
        <w:rPr>
          <w:b/>
          <w:bCs/>
        </w:rPr>
        <w:t xml:space="preserve">: </w:t>
      </w:r>
      <w:r>
        <w:rPr>
          <w:b/>
          <w:bCs/>
        </w:rPr>
        <w:t>RAN3 study following issues when IAB node ha</w:t>
      </w:r>
      <w:r w:rsidR="00107E54">
        <w:rPr>
          <w:b/>
          <w:bCs/>
        </w:rPr>
        <w:t>s</w:t>
      </w:r>
      <w:r>
        <w:rPr>
          <w:b/>
          <w:bCs/>
        </w:rPr>
        <w:t xml:space="preserve"> 2 </w:t>
      </w:r>
      <w:r w:rsidR="00C249FF">
        <w:rPr>
          <w:b/>
          <w:bCs/>
        </w:rPr>
        <w:t>gNB</w:t>
      </w:r>
      <w:r>
        <w:rPr>
          <w:b/>
          <w:bCs/>
        </w:rPr>
        <w:t>-DU</w:t>
      </w:r>
      <w:r w:rsidR="00107E54">
        <w:rPr>
          <w:b/>
          <w:bCs/>
        </w:rPr>
        <w:t>s</w:t>
      </w:r>
      <w:r>
        <w:rPr>
          <w:b/>
          <w:bCs/>
        </w:rPr>
        <w:t>:</w:t>
      </w:r>
    </w:p>
    <w:p w14:paraId="789FCBA7" w14:textId="27791738" w:rsidR="007E7047" w:rsidRDefault="007E7047" w:rsidP="007E7047">
      <w:pPr>
        <w:pStyle w:val="ListParagraph"/>
        <w:numPr>
          <w:ilvl w:val="0"/>
          <w:numId w:val="26"/>
        </w:numPr>
      </w:pPr>
      <w:r>
        <w:t>Set</w:t>
      </w:r>
      <w:r w:rsidR="00107E54">
        <w:t xml:space="preserve">ting </w:t>
      </w:r>
      <w:r>
        <w:t>up F1 between IAB node and target Donor over source path</w:t>
      </w:r>
    </w:p>
    <w:p w14:paraId="2554B96F" w14:textId="77777777" w:rsidR="007E7047" w:rsidRPr="003A22BC" w:rsidRDefault="007E7047" w:rsidP="007E7047">
      <w:pPr>
        <w:pStyle w:val="ListParagraph"/>
        <w:numPr>
          <w:ilvl w:val="0"/>
          <w:numId w:val="26"/>
        </w:numPr>
      </w:pPr>
      <w:r w:rsidRPr="003A22BC">
        <w:t>Cell ID for the IAB node</w:t>
      </w:r>
    </w:p>
    <w:p w14:paraId="3E5AA33A" w14:textId="77777777" w:rsidR="007E7047" w:rsidRPr="003A22BC" w:rsidRDefault="007E7047" w:rsidP="007E7047">
      <w:pPr>
        <w:pStyle w:val="ListParagraph"/>
        <w:numPr>
          <w:ilvl w:val="0"/>
          <w:numId w:val="26"/>
        </w:numPr>
      </w:pPr>
      <w:r w:rsidRPr="003A22BC">
        <w:t>Handover preparation procedure for the UE.</w:t>
      </w:r>
    </w:p>
    <w:p w14:paraId="3634C1FC" w14:textId="13D4E192" w:rsidR="007E7047" w:rsidRPr="003A22BC" w:rsidRDefault="007E7047" w:rsidP="007E7047">
      <w:pPr>
        <w:pStyle w:val="ListParagraph"/>
        <w:numPr>
          <w:ilvl w:val="0"/>
          <w:numId w:val="26"/>
        </w:numPr>
      </w:pPr>
      <w:r w:rsidRPr="003A22BC">
        <w:t>Set</w:t>
      </w:r>
      <w:r w:rsidR="00107E54">
        <w:t xml:space="preserve">ting </w:t>
      </w:r>
      <w:r w:rsidRPr="003A22BC">
        <w:t xml:space="preserve">up F1AP UE context in target Donor for the UE. </w:t>
      </w:r>
      <w:r w:rsidRPr="003A22BC">
        <w:tab/>
        <w:t xml:space="preserve"> </w:t>
      </w:r>
    </w:p>
    <w:p w14:paraId="7B954A45" w14:textId="77777777" w:rsidR="004C29DC" w:rsidRPr="004F4756" w:rsidRDefault="004C29DC" w:rsidP="004C29DC"/>
    <w:p w14:paraId="05E4427C" w14:textId="17FA10B4" w:rsidR="00952130" w:rsidRDefault="00952130" w:rsidP="00952130">
      <w:pPr>
        <w:pStyle w:val="Heading1"/>
      </w:pPr>
      <w:r>
        <w:t>References</w:t>
      </w:r>
    </w:p>
    <w:p w14:paraId="3D462577" w14:textId="77777777" w:rsidR="0020748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sidR="00207480" w:rsidRPr="00207480">
        <w:rPr>
          <w:rFonts w:ascii="Times New Roman" w:eastAsia="宋体" w:hAnsi="Times New Roman"/>
          <w:lang w:eastAsia="en-US"/>
        </w:rPr>
        <w:t xml:space="preserve">R3-204795, Inter-donor IAB-node Migration </w:t>
      </w:r>
    </w:p>
    <w:bookmarkEnd w:id="0"/>
    <w:p w14:paraId="0DDB8A08" w14:textId="471810EF" w:rsidR="00952130" w:rsidRDefault="00952130" w:rsidP="006A40AE">
      <w:pPr>
        <w:overflowPunct/>
        <w:autoSpaceDE/>
        <w:autoSpaceDN/>
        <w:adjustRightInd/>
        <w:spacing w:after="180"/>
        <w:jc w:val="left"/>
        <w:textAlignment w:val="auto"/>
        <w:rPr>
          <w:b/>
          <w:noProof/>
          <w:sz w:val="24"/>
          <w:szCs w:val="28"/>
          <w:lang w:eastAsia="en-US"/>
        </w:rPr>
      </w:pPr>
    </w:p>
    <w:sectPr w:rsidR="0095213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B018" w14:textId="77777777" w:rsidR="00FC3FCB" w:rsidRDefault="00FC3FCB">
      <w:r>
        <w:separator/>
      </w:r>
    </w:p>
  </w:endnote>
  <w:endnote w:type="continuationSeparator" w:id="0">
    <w:p w14:paraId="1F0CF38C" w14:textId="77777777" w:rsidR="00FC3FCB" w:rsidRDefault="00FC3FCB">
      <w:r>
        <w:continuationSeparator/>
      </w:r>
    </w:p>
  </w:endnote>
  <w:endnote w:type="continuationNotice" w:id="1">
    <w:p w14:paraId="336299ED" w14:textId="77777777" w:rsidR="00FC3FCB" w:rsidRDefault="00FC3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4D4D6" w14:textId="77777777" w:rsidR="00FC3FCB" w:rsidRDefault="00FC3FCB">
      <w:r>
        <w:separator/>
      </w:r>
    </w:p>
  </w:footnote>
  <w:footnote w:type="continuationSeparator" w:id="0">
    <w:p w14:paraId="6D11E76B" w14:textId="77777777" w:rsidR="00FC3FCB" w:rsidRDefault="00FC3FCB">
      <w:r>
        <w:continuationSeparator/>
      </w:r>
    </w:p>
  </w:footnote>
  <w:footnote w:type="continuationNotice" w:id="1">
    <w:p w14:paraId="730202E5" w14:textId="77777777" w:rsidR="00FC3FCB" w:rsidRDefault="00FC3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9"/>
  </w:num>
  <w:num w:numId="10">
    <w:abstractNumId w:val="23"/>
  </w:num>
  <w:num w:numId="11">
    <w:abstractNumId w:val="2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21"/>
  </w:num>
  <w:num w:numId="18">
    <w:abstractNumId w:val="25"/>
  </w:num>
  <w:num w:numId="19">
    <w:abstractNumId w:val="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5"/>
  </w:num>
  <w:num w:numId="23">
    <w:abstractNumId w:val="16"/>
  </w:num>
  <w:num w:numId="24">
    <w:abstractNumId w:val="9"/>
  </w:num>
  <w:num w:numId="25">
    <w:abstractNumId w:val="10"/>
  </w:num>
  <w:num w:numId="26">
    <w:abstractNumId w:val="7"/>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BE3"/>
    <w:rsid w:val="00015D15"/>
    <w:rsid w:val="000163D0"/>
    <w:rsid w:val="00017038"/>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57"/>
    <w:rsid w:val="00092207"/>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5EB"/>
    <w:rsid w:val="000D6862"/>
    <w:rsid w:val="000E02D2"/>
    <w:rsid w:val="000E0527"/>
    <w:rsid w:val="000E1E92"/>
    <w:rsid w:val="000E291B"/>
    <w:rsid w:val="000E2C4D"/>
    <w:rsid w:val="000E39E6"/>
    <w:rsid w:val="000E3DB8"/>
    <w:rsid w:val="000E3DEC"/>
    <w:rsid w:val="000E4B95"/>
    <w:rsid w:val="000E6754"/>
    <w:rsid w:val="000F06D6"/>
    <w:rsid w:val="000F0EB1"/>
    <w:rsid w:val="000F1106"/>
    <w:rsid w:val="000F184D"/>
    <w:rsid w:val="000F1873"/>
    <w:rsid w:val="000F26B2"/>
    <w:rsid w:val="000F2B38"/>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303E3"/>
    <w:rsid w:val="00131695"/>
    <w:rsid w:val="001318B5"/>
    <w:rsid w:val="00132FD0"/>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57F5"/>
    <w:rsid w:val="001503AE"/>
    <w:rsid w:val="00150E1D"/>
    <w:rsid w:val="001510AB"/>
    <w:rsid w:val="00151E23"/>
    <w:rsid w:val="001526E0"/>
    <w:rsid w:val="001536DF"/>
    <w:rsid w:val="00153B39"/>
    <w:rsid w:val="001541A3"/>
    <w:rsid w:val="0015490C"/>
    <w:rsid w:val="00154AF1"/>
    <w:rsid w:val="00154D2B"/>
    <w:rsid w:val="001551B5"/>
    <w:rsid w:val="001558FD"/>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4"/>
    <w:rsid w:val="001671FD"/>
    <w:rsid w:val="00170067"/>
    <w:rsid w:val="0017045C"/>
    <w:rsid w:val="00170F9F"/>
    <w:rsid w:val="001718EC"/>
    <w:rsid w:val="001732EB"/>
    <w:rsid w:val="00173A8E"/>
    <w:rsid w:val="001740A8"/>
    <w:rsid w:val="001741AA"/>
    <w:rsid w:val="00176CAD"/>
    <w:rsid w:val="00177795"/>
    <w:rsid w:val="00180989"/>
    <w:rsid w:val="0018143F"/>
    <w:rsid w:val="0018215E"/>
    <w:rsid w:val="00182FC8"/>
    <w:rsid w:val="001832CC"/>
    <w:rsid w:val="001842B6"/>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1F25"/>
    <w:rsid w:val="001D21C4"/>
    <w:rsid w:val="001D333A"/>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0B7"/>
    <w:rsid w:val="001E542A"/>
    <w:rsid w:val="001E58E2"/>
    <w:rsid w:val="001E59DA"/>
    <w:rsid w:val="001E647F"/>
    <w:rsid w:val="001E6F78"/>
    <w:rsid w:val="001E7AED"/>
    <w:rsid w:val="001F08A2"/>
    <w:rsid w:val="001F08EF"/>
    <w:rsid w:val="001F1D1E"/>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480"/>
    <w:rsid w:val="00207FA3"/>
    <w:rsid w:val="00207FBF"/>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C9F"/>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B86"/>
    <w:rsid w:val="002D6C8C"/>
    <w:rsid w:val="002D7052"/>
    <w:rsid w:val="002D7637"/>
    <w:rsid w:val="002E0031"/>
    <w:rsid w:val="002E1050"/>
    <w:rsid w:val="002E13BD"/>
    <w:rsid w:val="002E17F2"/>
    <w:rsid w:val="002E386D"/>
    <w:rsid w:val="002E44AD"/>
    <w:rsid w:val="002E4527"/>
    <w:rsid w:val="002E45E7"/>
    <w:rsid w:val="002E481A"/>
    <w:rsid w:val="002E4D97"/>
    <w:rsid w:val="002E5EAB"/>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338"/>
    <w:rsid w:val="00304DE9"/>
    <w:rsid w:val="0030501F"/>
    <w:rsid w:val="003070BB"/>
    <w:rsid w:val="00307BA1"/>
    <w:rsid w:val="00310BF9"/>
    <w:rsid w:val="00310C25"/>
    <w:rsid w:val="00311702"/>
    <w:rsid w:val="00311B31"/>
    <w:rsid w:val="00311BB6"/>
    <w:rsid w:val="00311E82"/>
    <w:rsid w:val="003127DA"/>
    <w:rsid w:val="00312FE9"/>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3E51"/>
    <w:rsid w:val="00334579"/>
    <w:rsid w:val="00335858"/>
    <w:rsid w:val="0033640D"/>
    <w:rsid w:val="00336BDA"/>
    <w:rsid w:val="003409B2"/>
    <w:rsid w:val="00342BD7"/>
    <w:rsid w:val="00343A07"/>
    <w:rsid w:val="00345015"/>
    <w:rsid w:val="00345333"/>
    <w:rsid w:val="00345B74"/>
    <w:rsid w:val="00346DB5"/>
    <w:rsid w:val="003476F9"/>
    <w:rsid w:val="003477B1"/>
    <w:rsid w:val="00347AAD"/>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2AD9"/>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A03F4"/>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2478"/>
    <w:rsid w:val="003D2FC4"/>
    <w:rsid w:val="003D3C45"/>
    <w:rsid w:val="003D3D65"/>
    <w:rsid w:val="003D42CC"/>
    <w:rsid w:val="003D45FC"/>
    <w:rsid w:val="003D5B1F"/>
    <w:rsid w:val="003D5BDB"/>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4D56"/>
    <w:rsid w:val="003F4FB7"/>
    <w:rsid w:val="003F6BBE"/>
    <w:rsid w:val="003F723F"/>
    <w:rsid w:val="003F7761"/>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C4F"/>
    <w:rsid w:val="00436FD8"/>
    <w:rsid w:val="00437447"/>
    <w:rsid w:val="004374E6"/>
    <w:rsid w:val="00437610"/>
    <w:rsid w:val="00437F19"/>
    <w:rsid w:val="00440540"/>
    <w:rsid w:val="00440743"/>
    <w:rsid w:val="00441038"/>
    <w:rsid w:val="00441A92"/>
    <w:rsid w:val="00441BE2"/>
    <w:rsid w:val="00442425"/>
    <w:rsid w:val="004426DE"/>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B71"/>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7C69"/>
    <w:rsid w:val="0049026C"/>
    <w:rsid w:val="0049200A"/>
    <w:rsid w:val="00492747"/>
    <w:rsid w:val="00492BC5"/>
    <w:rsid w:val="00492D58"/>
    <w:rsid w:val="004932E3"/>
    <w:rsid w:val="00493819"/>
    <w:rsid w:val="004957C8"/>
    <w:rsid w:val="00495A77"/>
    <w:rsid w:val="004961A9"/>
    <w:rsid w:val="004964F1"/>
    <w:rsid w:val="00496B9A"/>
    <w:rsid w:val="004A0E54"/>
    <w:rsid w:val="004A16BC"/>
    <w:rsid w:val="004A1C96"/>
    <w:rsid w:val="004A1E83"/>
    <w:rsid w:val="004A2B94"/>
    <w:rsid w:val="004A4186"/>
    <w:rsid w:val="004A41CD"/>
    <w:rsid w:val="004A5941"/>
    <w:rsid w:val="004A61A7"/>
    <w:rsid w:val="004A7CEF"/>
    <w:rsid w:val="004B1999"/>
    <w:rsid w:val="004B1EB4"/>
    <w:rsid w:val="004B29D1"/>
    <w:rsid w:val="004B3F6B"/>
    <w:rsid w:val="004B50E1"/>
    <w:rsid w:val="004B556D"/>
    <w:rsid w:val="004B58D3"/>
    <w:rsid w:val="004B69CC"/>
    <w:rsid w:val="004B6DEA"/>
    <w:rsid w:val="004B6F96"/>
    <w:rsid w:val="004B7C0C"/>
    <w:rsid w:val="004B7F0A"/>
    <w:rsid w:val="004C14C3"/>
    <w:rsid w:val="004C2515"/>
    <w:rsid w:val="004C29DC"/>
    <w:rsid w:val="004C3898"/>
    <w:rsid w:val="004C389B"/>
    <w:rsid w:val="004C4E39"/>
    <w:rsid w:val="004C504D"/>
    <w:rsid w:val="004C52E1"/>
    <w:rsid w:val="004C54A4"/>
    <w:rsid w:val="004C6074"/>
    <w:rsid w:val="004C6DFE"/>
    <w:rsid w:val="004C6FCD"/>
    <w:rsid w:val="004D0001"/>
    <w:rsid w:val="004D111E"/>
    <w:rsid w:val="004D1A8C"/>
    <w:rsid w:val="004D36B1"/>
    <w:rsid w:val="004D3A12"/>
    <w:rsid w:val="004D483A"/>
    <w:rsid w:val="004D5745"/>
    <w:rsid w:val="004D672E"/>
    <w:rsid w:val="004D73CB"/>
    <w:rsid w:val="004D796E"/>
    <w:rsid w:val="004D7EBD"/>
    <w:rsid w:val="004E1402"/>
    <w:rsid w:val="004E16B5"/>
    <w:rsid w:val="004E188C"/>
    <w:rsid w:val="004E2680"/>
    <w:rsid w:val="004E28F9"/>
    <w:rsid w:val="004E2A75"/>
    <w:rsid w:val="004E2DB7"/>
    <w:rsid w:val="004E3357"/>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62F"/>
    <w:rsid w:val="00544BAC"/>
    <w:rsid w:val="00546970"/>
    <w:rsid w:val="00547B5B"/>
    <w:rsid w:val="00550C90"/>
    <w:rsid w:val="005515EB"/>
    <w:rsid w:val="00551A0E"/>
    <w:rsid w:val="00552418"/>
    <w:rsid w:val="005526A7"/>
    <w:rsid w:val="005529AB"/>
    <w:rsid w:val="00552B00"/>
    <w:rsid w:val="00553C13"/>
    <w:rsid w:val="00553CBE"/>
    <w:rsid w:val="00554E19"/>
    <w:rsid w:val="00554E79"/>
    <w:rsid w:val="00555E3A"/>
    <w:rsid w:val="00556302"/>
    <w:rsid w:val="005565C7"/>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0C2A"/>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4BB"/>
    <w:rsid w:val="005A662D"/>
    <w:rsid w:val="005A6C45"/>
    <w:rsid w:val="005A7219"/>
    <w:rsid w:val="005A78CA"/>
    <w:rsid w:val="005B0103"/>
    <w:rsid w:val="005B045C"/>
    <w:rsid w:val="005B07EE"/>
    <w:rsid w:val="005B0E95"/>
    <w:rsid w:val="005B25F7"/>
    <w:rsid w:val="005B28BD"/>
    <w:rsid w:val="005B35D7"/>
    <w:rsid w:val="005B391E"/>
    <w:rsid w:val="005B392A"/>
    <w:rsid w:val="005B3AA3"/>
    <w:rsid w:val="005B4A44"/>
    <w:rsid w:val="005B555E"/>
    <w:rsid w:val="005B6089"/>
    <w:rsid w:val="005B6F83"/>
    <w:rsid w:val="005B7549"/>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309C"/>
    <w:rsid w:val="005D4FEE"/>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0BC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087"/>
    <w:rsid w:val="00636398"/>
    <w:rsid w:val="006364F1"/>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3ECE"/>
    <w:rsid w:val="0068429A"/>
    <w:rsid w:val="006848CD"/>
    <w:rsid w:val="00684B60"/>
    <w:rsid w:val="00684CDB"/>
    <w:rsid w:val="006858A0"/>
    <w:rsid w:val="00686808"/>
    <w:rsid w:val="00686D9A"/>
    <w:rsid w:val="0069110B"/>
    <w:rsid w:val="0069334D"/>
    <w:rsid w:val="006949B8"/>
    <w:rsid w:val="00694F13"/>
    <w:rsid w:val="00695164"/>
    <w:rsid w:val="006956BD"/>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E17"/>
    <w:rsid w:val="00727F23"/>
    <w:rsid w:val="0073020A"/>
    <w:rsid w:val="0073085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FCB"/>
    <w:rsid w:val="00761C14"/>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2FCE"/>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929"/>
    <w:rsid w:val="007C7CBF"/>
    <w:rsid w:val="007D04E5"/>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71CE"/>
    <w:rsid w:val="007F75EF"/>
    <w:rsid w:val="007F77D6"/>
    <w:rsid w:val="0080078F"/>
    <w:rsid w:val="008015DF"/>
    <w:rsid w:val="008020FE"/>
    <w:rsid w:val="008029EE"/>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6090"/>
    <w:rsid w:val="00846723"/>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31AD"/>
    <w:rsid w:val="00883680"/>
    <w:rsid w:val="00883A4A"/>
    <w:rsid w:val="00884D89"/>
    <w:rsid w:val="008850EF"/>
    <w:rsid w:val="00885820"/>
    <w:rsid w:val="0088638F"/>
    <w:rsid w:val="00886784"/>
    <w:rsid w:val="00886A69"/>
    <w:rsid w:val="008878B2"/>
    <w:rsid w:val="00891466"/>
    <w:rsid w:val="00891B88"/>
    <w:rsid w:val="008929DB"/>
    <w:rsid w:val="00894A88"/>
    <w:rsid w:val="00895215"/>
    <w:rsid w:val="00895386"/>
    <w:rsid w:val="00896439"/>
    <w:rsid w:val="0089699F"/>
    <w:rsid w:val="00896D3D"/>
    <w:rsid w:val="008A08E1"/>
    <w:rsid w:val="008A21FF"/>
    <w:rsid w:val="008A2902"/>
    <w:rsid w:val="008A2CE2"/>
    <w:rsid w:val="008A30AC"/>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BCE"/>
    <w:rsid w:val="008B350A"/>
    <w:rsid w:val="008B51A0"/>
    <w:rsid w:val="008B54F7"/>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A4E"/>
    <w:rsid w:val="00924DAC"/>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28F9"/>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5EB"/>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2A1"/>
    <w:rsid w:val="00A833AA"/>
    <w:rsid w:val="00A83903"/>
    <w:rsid w:val="00A83E38"/>
    <w:rsid w:val="00A85053"/>
    <w:rsid w:val="00A85DC7"/>
    <w:rsid w:val="00A86000"/>
    <w:rsid w:val="00A90248"/>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692"/>
    <w:rsid w:val="00AC5A10"/>
    <w:rsid w:val="00AC7016"/>
    <w:rsid w:val="00AC7DF1"/>
    <w:rsid w:val="00AC7F5F"/>
    <w:rsid w:val="00AD0182"/>
    <w:rsid w:val="00AD0AA3"/>
    <w:rsid w:val="00AD0F52"/>
    <w:rsid w:val="00AD1952"/>
    <w:rsid w:val="00AD1E34"/>
    <w:rsid w:val="00AD22F7"/>
    <w:rsid w:val="00AD2496"/>
    <w:rsid w:val="00AD2B26"/>
    <w:rsid w:val="00AD3F90"/>
    <w:rsid w:val="00AD3F94"/>
    <w:rsid w:val="00AD4667"/>
    <w:rsid w:val="00AD4A5A"/>
    <w:rsid w:val="00AD5754"/>
    <w:rsid w:val="00AD6192"/>
    <w:rsid w:val="00AD67FE"/>
    <w:rsid w:val="00AE138B"/>
    <w:rsid w:val="00AE1AEC"/>
    <w:rsid w:val="00AE27AC"/>
    <w:rsid w:val="00AE27E4"/>
    <w:rsid w:val="00AE3B98"/>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20256"/>
    <w:rsid w:val="00B20D09"/>
    <w:rsid w:val="00B216F9"/>
    <w:rsid w:val="00B21786"/>
    <w:rsid w:val="00B22C9D"/>
    <w:rsid w:val="00B23437"/>
    <w:rsid w:val="00B25FA7"/>
    <w:rsid w:val="00B2763F"/>
    <w:rsid w:val="00B27AAC"/>
    <w:rsid w:val="00B30929"/>
    <w:rsid w:val="00B30B35"/>
    <w:rsid w:val="00B34C9B"/>
    <w:rsid w:val="00B3541A"/>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216"/>
    <w:rsid w:val="00B72780"/>
    <w:rsid w:val="00B739F6"/>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56D2"/>
    <w:rsid w:val="00BA6440"/>
    <w:rsid w:val="00BA6815"/>
    <w:rsid w:val="00BA69F5"/>
    <w:rsid w:val="00BA76E0"/>
    <w:rsid w:val="00BB0186"/>
    <w:rsid w:val="00BB212F"/>
    <w:rsid w:val="00BB229E"/>
    <w:rsid w:val="00BB2A25"/>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252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210"/>
    <w:rsid w:val="00CA0590"/>
    <w:rsid w:val="00CA12D1"/>
    <w:rsid w:val="00CA1D8C"/>
    <w:rsid w:val="00CA1ED8"/>
    <w:rsid w:val="00CA31A3"/>
    <w:rsid w:val="00CA3D41"/>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6152"/>
    <w:rsid w:val="00CE0424"/>
    <w:rsid w:val="00CE2FDB"/>
    <w:rsid w:val="00CE585C"/>
    <w:rsid w:val="00CE6832"/>
    <w:rsid w:val="00CE7561"/>
    <w:rsid w:val="00CE758E"/>
    <w:rsid w:val="00CE7799"/>
    <w:rsid w:val="00CF0237"/>
    <w:rsid w:val="00CF02AC"/>
    <w:rsid w:val="00CF0864"/>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381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4B7"/>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6921"/>
    <w:rsid w:val="00D47715"/>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F48"/>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B00F8"/>
    <w:rsid w:val="00DB0A9F"/>
    <w:rsid w:val="00DB377D"/>
    <w:rsid w:val="00DB5719"/>
    <w:rsid w:val="00DB6768"/>
    <w:rsid w:val="00DB72C9"/>
    <w:rsid w:val="00DC1887"/>
    <w:rsid w:val="00DC25CF"/>
    <w:rsid w:val="00DC28F0"/>
    <w:rsid w:val="00DC2D36"/>
    <w:rsid w:val="00DC37B1"/>
    <w:rsid w:val="00DC4646"/>
    <w:rsid w:val="00DC478F"/>
    <w:rsid w:val="00DC4F17"/>
    <w:rsid w:val="00DC53EF"/>
    <w:rsid w:val="00DD0E49"/>
    <w:rsid w:val="00DD1B55"/>
    <w:rsid w:val="00DD1D27"/>
    <w:rsid w:val="00DD1EEE"/>
    <w:rsid w:val="00DD25DB"/>
    <w:rsid w:val="00DD2697"/>
    <w:rsid w:val="00DD42EC"/>
    <w:rsid w:val="00DD6FC6"/>
    <w:rsid w:val="00DD740E"/>
    <w:rsid w:val="00DD7789"/>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1746"/>
    <w:rsid w:val="00E01957"/>
    <w:rsid w:val="00E01E5E"/>
    <w:rsid w:val="00E0219D"/>
    <w:rsid w:val="00E0253C"/>
    <w:rsid w:val="00E04859"/>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27EA5"/>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A55"/>
    <w:rsid w:val="00E53B75"/>
    <w:rsid w:val="00E54E3B"/>
    <w:rsid w:val="00E54F66"/>
    <w:rsid w:val="00E5509A"/>
    <w:rsid w:val="00E5541E"/>
    <w:rsid w:val="00E566F3"/>
    <w:rsid w:val="00E57565"/>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8EC"/>
    <w:rsid w:val="00E76259"/>
    <w:rsid w:val="00E774DB"/>
    <w:rsid w:val="00E8007A"/>
    <w:rsid w:val="00E821D6"/>
    <w:rsid w:val="00E8233A"/>
    <w:rsid w:val="00E8234C"/>
    <w:rsid w:val="00E82F93"/>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172E"/>
    <w:rsid w:val="00EA1940"/>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6433"/>
    <w:rsid w:val="00ED67EE"/>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850"/>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35B7"/>
    <w:rsid w:val="00FC3FCB"/>
    <w:rsid w:val="00FC4AD0"/>
    <w:rsid w:val="00FC6640"/>
    <w:rsid w:val="00FC6982"/>
    <w:rsid w:val="00FC7313"/>
    <w:rsid w:val="00FC7429"/>
    <w:rsid w:val="00FD055A"/>
    <w:rsid w:val="00FD075F"/>
    <w:rsid w:val="00FD07F6"/>
    <w:rsid w:val="00FD0F96"/>
    <w:rsid w:val="00FD1963"/>
    <w:rsid w:val="00FD1EC8"/>
    <w:rsid w:val="00FD2562"/>
    <w:rsid w:val="00FD3445"/>
    <w:rsid w:val="00FD3FB3"/>
    <w:rsid w:val="00FD47ED"/>
    <w:rsid w:val="00FD5F15"/>
    <w:rsid w:val="00FD74DB"/>
    <w:rsid w:val="00FD7660"/>
    <w:rsid w:val="00FE0655"/>
    <w:rsid w:val="00FE1E40"/>
    <w:rsid w:val="00FE20E2"/>
    <w:rsid w:val="00FE2365"/>
    <w:rsid w:val="00FE26A4"/>
    <w:rsid w:val="00FE4009"/>
    <w:rsid w:val="00FE4659"/>
    <w:rsid w:val="00FE4B0E"/>
    <w:rsid w:val="00FE4C7B"/>
    <w:rsid w:val="00FE4CAF"/>
    <w:rsid w:val="00FE5670"/>
    <w:rsid w:val="00FE5E76"/>
    <w:rsid w:val="00FE7078"/>
    <w:rsid w:val="00FE7336"/>
    <w:rsid w:val="00FE787C"/>
    <w:rsid w:val="00FF0B02"/>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5AIRPNAIUNRU-1156379521-1962</_dlc_DocId>
    <_dlc_DocIdUrl xmlns="71c5aaf6-e6ce-465b-b873-5148d2a4c105">
      <Url>https://nokia.sharepoint.com/sites/c5g/e2earch/_layouts/15/DocIdRedir.aspx?ID=5AIRPNAIUNRU-1156379521-1962</Url>
      <Description>5AIRPNAIUNRU-1156379521-1962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b1e1cf1a-759b-4612-9ceb-2888e9efb08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9D581065-255E-46D5-8C8E-07CDE334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6</Pages>
  <Words>1717</Words>
  <Characters>9791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2</cp:revision>
  <cp:lastPrinted>2020-05-20T07:03:00Z</cp:lastPrinted>
  <dcterms:created xsi:type="dcterms:W3CDTF">2020-10-23T02:55:00Z</dcterms:created>
  <dcterms:modified xsi:type="dcterms:W3CDTF">2020-10-23T02:55:00Z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27eccbd0-dede-4a35-8a86-85e0054f10d6</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